
<file path=[Content_Types].xml><?xml version="1.0" encoding="utf-8"?>
<Types xmlns="http://schemas.openxmlformats.org/package/2006/content-types">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tLeast"/>
        <w:rPr>
          <w:color w:val="auto"/>
          <w:highlight w:val="none"/>
        </w:rPr>
      </w:pPr>
    </w:p>
    <w:p>
      <w:pPr>
        <w:pStyle w:val="7"/>
        <w:rPr>
          <w:color w:val="auto"/>
          <w:highlight w:val="none"/>
        </w:rPr>
      </w:pPr>
    </w:p>
    <w:p>
      <w:pPr>
        <w:spacing w:line="600" w:lineRule="atLeast"/>
        <w:rPr>
          <w:color w:val="auto"/>
          <w:highlight w:val="none"/>
        </w:rPr>
      </w:pPr>
    </w:p>
    <w:p>
      <w:pPr>
        <w:spacing w:line="600" w:lineRule="atLeast"/>
        <w:jc w:val="center"/>
        <w:rPr>
          <w:color w:val="auto"/>
          <w:highlight w:val="none"/>
        </w:rPr>
      </w:pPr>
      <w:r>
        <w:rPr>
          <w:b/>
          <w:color w:val="auto"/>
          <w:sz w:val="72"/>
          <w:highlight w:val="none"/>
        </w:rPr>
        <w:t>建设项目环境影响报告表</w:t>
      </w:r>
    </w:p>
    <w:p>
      <w:pPr>
        <w:spacing w:line="620" w:lineRule="atLeast"/>
        <w:rPr>
          <w:color w:val="auto"/>
          <w:highlight w:val="none"/>
        </w:rPr>
      </w:pPr>
    </w:p>
    <w:p>
      <w:pPr>
        <w:spacing w:line="620" w:lineRule="atLeast"/>
        <w:rPr>
          <w:color w:val="auto"/>
          <w:highlight w:val="none"/>
        </w:rPr>
      </w:pPr>
    </w:p>
    <w:p>
      <w:pPr>
        <w:pStyle w:val="2"/>
        <w:rPr>
          <w:color w:val="auto"/>
          <w:highlight w:val="none"/>
        </w:rPr>
      </w:pPr>
    </w:p>
    <w:p>
      <w:pPr>
        <w:spacing w:line="600" w:lineRule="atLeast"/>
        <w:rPr>
          <w:color w:val="auto"/>
          <w:highlight w:val="none"/>
        </w:rPr>
      </w:pPr>
    </w:p>
    <w:p>
      <w:pPr>
        <w:spacing w:line="600" w:lineRule="atLeast"/>
        <w:rPr>
          <w:color w:val="auto"/>
          <w:highlight w:val="none"/>
        </w:rPr>
      </w:pPr>
    </w:p>
    <w:p>
      <w:pPr>
        <w:spacing w:line="600" w:lineRule="atLeast"/>
        <w:rPr>
          <w:color w:val="auto"/>
          <w:highlight w:val="none"/>
        </w:rPr>
      </w:pPr>
    </w:p>
    <w:p>
      <w:pPr>
        <w:spacing w:line="600" w:lineRule="atLeast"/>
        <w:rPr>
          <w:color w:val="auto"/>
          <w:highlight w:val="none"/>
        </w:rPr>
      </w:pPr>
    </w:p>
    <w:p>
      <w:pPr>
        <w:spacing w:line="600" w:lineRule="atLeast"/>
        <w:rPr>
          <w:color w:val="auto"/>
          <w:highlight w:val="none"/>
        </w:rPr>
      </w:pPr>
    </w:p>
    <w:p>
      <w:pPr>
        <w:spacing w:line="600" w:lineRule="atLeast"/>
        <w:rPr>
          <w:color w:val="auto"/>
          <w:highlight w:val="none"/>
        </w:rPr>
      </w:pPr>
    </w:p>
    <w:p>
      <w:pPr>
        <w:spacing w:line="600" w:lineRule="atLeast"/>
        <w:rPr>
          <w:color w:val="auto"/>
          <w:highlight w:val="none"/>
        </w:rPr>
      </w:pPr>
    </w:p>
    <w:p>
      <w:pPr>
        <w:ind w:firstLine="1606" w:firstLineChars="500"/>
        <w:rPr>
          <w:rFonts w:hint="eastAsia"/>
          <w:bCs/>
          <w:color w:val="auto"/>
          <w:sz w:val="32"/>
          <w:szCs w:val="32"/>
          <w:highlight w:val="none"/>
          <w:u w:val="single"/>
          <w:lang w:eastAsia="zh-CN"/>
        </w:rPr>
      </w:pPr>
      <w:r>
        <w:rPr>
          <w:b/>
          <w:color w:val="auto"/>
          <w:sz w:val="32"/>
          <w:highlight w:val="none"/>
        </w:rPr>
        <w:t>项目名称:</w:t>
      </w:r>
      <w:r>
        <w:rPr>
          <w:color w:val="auto"/>
          <w:sz w:val="32"/>
          <w:szCs w:val="32"/>
          <w:highlight w:val="none"/>
          <w:u w:val="single"/>
        </w:rPr>
        <w:t xml:space="preserve"> </w:t>
      </w:r>
      <w:r>
        <w:rPr>
          <w:rFonts w:hint="eastAsia"/>
          <w:bCs/>
          <w:color w:val="auto"/>
          <w:sz w:val="32"/>
          <w:szCs w:val="32"/>
          <w:highlight w:val="none"/>
          <w:u w:val="single"/>
          <w:lang w:eastAsia="zh-CN"/>
        </w:rPr>
        <w:t>透平风机叶片激光熔覆修复及配件</w:t>
      </w:r>
    </w:p>
    <w:p>
      <w:pPr>
        <w:ind w:firstLine="3200" w:firstLineChars="1000"/>
        <w:rPr>
          <w:rFonts w:hint="default" w:eastAsia="宋体"/>
          <w:color w:val="auto"/>
          <w:spacing w:val="-20"/>
          <w:sz w:val="32"/>
          <w:szCs w:val="32"/>
          <w:highlight w:val="none"/>
          <w:u w:val="single"/>
          <w:lang w:val="en-US" w:eastAsia="zh-CN"/>
        </w:rPr>
      </w:pPr>
      <w:r>
        <w:rPr>
          <w:rFonts w:hint="eastAsia"/>
          <w:bCs/>
          <w:color w:val="auto"/>
          <w:sz w:val="32"/>
          <w:szCs w:val="32"/>
          <w:highlight w:val="none"/>
          <w:u w:val="single"/>
          <w:lang w:eastAsia="zh-CN"/>
        </w:rPr>
        <w:t>生产技改升级项目</w:t>
      </w:r>
      <w:r>
        <w:rPr>
          <w:rFonts w:hint="eastAsia"/>
          <w:bCs/>
          <w:color w:val="auto"/>
          <w:sz w:val="32"/>
          <w:szCs w:val="32"/>
          <w:highlight w:val="none"/>
          <w:u w:val="single"/>
          <w:lang w:val="en-US" w:eastAsia="zh-CN"/>
        </w:rPr>
        <w:t xml:space="preserve">              </w:t>
      </w:r>
    </w:p>
    <w:p>
      <w:pPr>
        <w:spacing w:line="360" w:lineRule="auto"/>
        <w:jc w:val="center"/>
        <w:rPr>
          <w:rFonts w:hint="default" w:eastAsia="宋体"/>
          <w:color w:val="auto"/>
          <w:spacing w:val="-14"/>
          <w:sz w:val="32"/>
          <w:szCs w:val="32"/>
          <w:highlight w:val="none"/>
          <w:u w:val="thick"/>
          <w:lang w:val="en-US" w:eastAsia="zh-CN"/>
        </w:rPr>
      </w:pPr>
      <w:r>
        <w:rPr>
          <w:b/>
          <w:color w:val="auto"/>
          <w:sz w:val="32"/>
          <w:highlight w:val="none"/>
        </w:rPr>
        <w:t xml:space="preserve">  建设单位(盖章):</w:t>
      </w:r>
      <w:r>
        <w:rPr>
          <w:color w:val="auto"/>
          <w:sz w:val="24"/>
          <w:highlight w:val="none"/>
        </w:rPr>
        <w:t xml:space="preserve"> </w:t>
      </w:r>
      <w:r>
        <w:rPr>
          <w:bCs/>
          <w:color w:val="auto"/>
          <w:sz w:val="32"/>
          <w:szCs w:val="32"/>
          <w:highlight w:val="none"/>
          <w:u w:val="single"/>
        </w:rPr>
        <w:t xml:space="preserve"> </w:t>
      </w:r>
      <w:r>
        <w:rPr>
          <w:rFonts w:hint="eastAsia"/>
          <w:bCs/>
          <w:color w:val="auto"/>
          <w:sz w:val="32"/>
          <w:szCs w:val="32"/>
          <w:highlight w:val="none"/>
          <w:u w:val="single"/>
          <w:lang w:eastAsia="zh-CN"/>
        </w:rPr>
        <w:t>河北透平风机制造有限公司</w:t>
      </w:r>
      <w:r>
        <w:rPr>
          <w:rFonts w:hint="eastAsia"/>
          <w:bCs/>
          <w:color w:val="auto"/>
          <w:sz w:val="32"/>
          <w:szCs w:val="32"/>
          <w:highlight w:val="none"/>
          <w:u w:val="single"/>
          <w:lang w:val="en-US" w:eastAsia="zh-CN"/>
        </w:rPr>
        <w:t xml:space="preserve"> </w:t>
      </w:r>
    </w:p>
    <w:p>
      <w:pPr>
        <w:jc w:val="center"/>
        <w:rPr>
          <w:color w:val="auto"/>
          <w:sz w:val="32"/>
          <w:highlight w:val="none"/>
        </w:rPr>
      </w:pPr>
    </w:p>
    <w:p>
      <w:pPr>
        <w:jc w:val="center"/>
        <w:rPr>
          <w:color w:val="auto"/>
          <w:sz w:val="32"/>
          <w:highlight w:val="none"/>
        </w:rPr>
      </w:pPr>
      <w:r>
        <w:rPr>
          <w:color w:val="auto"/>
          <w:sz w:val="32"/>
          <w:highlight w:val="none"/>
        </w:rPr>
        <w:t>编制日期：20</w:t>
      </w:r>
      <w:r>
        <w:rPr>
          <w:rFonts w:hint="eastAsia"/>
          <w:color w:val="auto"/>
          <w:sz w:val="32"/>
          <w:highlight w:val="none"/>
          <w:lang w:val="en-US" w:eastAsia="zh-CN"/>
        </w:rPr>
        <w:t>21</w:t>
      </w:r>
      <w:r>
        <w:rPr>
          <w:color w:val="auto"/>
          <w:sz w:val="32"/>
          <w:highlight w:val="none"/>
        </w:rPr>
        <w:t>年</w:t>
      </w:r>
      <w:r>
        <w:rPr>
          <w:rFonts w:hint="eastAsia"/>
          <w:color w:val="auto"/>
          <w:sz w:val="32"/>
          <w:highlight w:val="none"/>
          <w:lang w:val="en-US" w:eastAsia="zh-CN"/>
        </w:rPr>
        <w:t>1</w:t>
      </w:r>
      <w:r>
        <w:rPr>
          <w:color w:val="auto"/>
          <w:sz w:val="32"/>
          <w:highlight w:val="none"/>
        </w:rPr>
        <w:t>月</w:t>
      </w:r>
    </w:p>
    <w:p>
      <w:pPr>
        <w:jc w:val="center"/>
        <w:rPr>
          <w:color w:val="auto"/>
          <w:sz w:val="32"/>
          <w:highlight w:val="none"/>
        </w:rPr>
      </w:pPr>
      <w:r>
        <w:rPr>
          <w:color w:val="auto"/>
          <w:sz w:val="32"/>
          <w:highlight w:val="none"/>
        </w:rPr>
        <w:t>国家环境保护总局</w:t>
      </w:r>
    </w:p>
    <w:p>
      <w:pPr>
        <w:pStyle w:val="2"/>
        <w:rPr>
          <w:rFonts w:ascii="Times New Roman"/>
          <w:color w:val="auto"/>
          <w:sz w:val="32"/>
          <w:highlight w:val="none"/>
        </w:rPr>
      </w:pPr>
    </w:p>
    <w:p>
      <w:pPr>
        <w:pStyle w:val="2"/>
        <w:rPr>
          <w:rFonts w:ascii="Times New Roman"/>
          <w:color w:val="auto"/>
          <w:sz w:val="32"/>
          <w:highlight w:val="none"/>
        </w:rPr>
      </w:pPr>
    </w:p>
    <w:p>
      <w:pPr>
        <w:pStyle w:val="2"/>
        <w:rPr>
          <w:rFonts w:ascii="Times New Roman"/>
          <w:color w:val="auto"/>
          <w:sz w:val="32"/>
          <w:highlight w:val="none"/>
        </w:rPr>
      </w:pPr>
    </w:p>
    <w:p>
      <w:pPr>
        <w:outlineLvl w:val="0"/>
        <w:rPr>
          <w:b/>
          <w:bCs/>
          <w:color w:val="auto"/>
          <w:sz w:val="32"/>
          <w:highlight w:val="none"/>
        </w:rPr>
        <w:sectPr>
          <w:pgSz w:w="11906" w:h="16838"/>
          <w:pgMar w:top="1440" w:right="1247" w:bottom="1440" w:left="1474"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outlineLvl w:val="0"/>
        <w:rPr>
          <w:b/>
          <w:bCs/>
          <w:color w:val="auto"/>
          <w:sz w:val="32"/>
          <w:highlight w:val="none"/>
        </w:rPr>
      </w:pPr>
      <w:r>
        <w:rPr>
          <w:b/>
          <w:bCs/>
          <w:color w:val="auto"/>
          <w:sz w:val="32"/>
          <w:highlight w:val="none"/>
        </w:rPr>
        <w:t>建设项目基本情况</w:t>
      </w:r>
    </w:p>
    <w:tbl>
      <w:tblPr>
        <w:tblStyle w:val="31"/>
        <w:tblW w:w="935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85" w:type="dxa"/>
          <w:bottom w:w="0" w:type="dxa"/>
          <w:right w:w="85" w:type="dxa"/>
        </w:tblCellMar>
      </w:tblPr>
      <w:tblGrid>
        <w:gridCol w:w="1410"/>
        <w:gridCol w:w="367"/>
        <w:gridCol w:w="995"/>
        <w:gridCol w:w="186"/>
        <w:gridCol w:w="1473"/>
        <w:gridCol w:w="1915"/>
        <w:gridCol w:w="1753"/>
        <w:gridCol w:w="175"/>
        <w:gridCol w:w="108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410" w:type="dxa"/>
            <w:vAlign w:val="center"/>
          </w:tcPr>
          <w:p>
            <w:pPr>
              <w:spacing w:line="480" w:lineRule="exact"/>
              <w:jc w:val="center"/>
              <w:rPr>
                <w:color w:val="auto"/>
                <w:kern w:val="24"/>
                <w:sz w:val="24"/>
                <w:highlight w:val="none"/>
              </w:rPr>
            </w:pPr>
            <w:r>
              <w:rPr>
                <w:color w:val="auto"/>
                <w:kern w:val="24"/>
                <w:sz w:val="24"/>
                <w:highlight w:val="none"/>
              </w:rPr>
              <w:t>项目名称</w:t>
            </w:r>
          </w:p>
        </w:tc>
        <w:tc>
          <w:tcPr>
            <w:tcW w:w="7945" w:type="dxa"/>
            <w:gridSpan w:val="8"/>
            <w:vAlign w:val="center"/>
          </w:tcPr>
          <w:p>
            <w:pPr>
              <w:spacing w:line="400" w:lineRule="exact"/>
              <w:jc w:val="left"/>
              <w:rPr>
                <w:rFonts w:hint="eastAsia" w:eastAsia="宋体"/>
                <w:color w:val="auto"/>
                <w:sz w:val="24"/>
                <w:highlight w:val="none"/>
                <w:lang w:eastAsia="zh-CN"/>
              </w:rPr>
            </w:pPr>
            <w:r>
              <w:rPr>
                <w:rFonts w:hint="eastAsia"/>
                <w:color w:val="auto"/>
                <w:sz w:val="24"/>
                <w:highlight w:val="none"/>
                <w:lang w:eastAsia="zh-CN"/>
              </w:rPr>
              <w:t>透平风机叶片激光熔覆修复及配件生产技改升级项目</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456" w:hRule="atLeast"/>
          <w:jc w:val="center"/>
        </w:trPr>
        <w:tc>
          <w:tcPr>
            <w:tcW w:w="1410" w:type="dxa"/>
            <w:vAlign w:val="center"/>
          </w:tcPr>
          <w:p>
            <w:pPr>
              <w:spacing w:line="480" w:lineRule="exact"/>
              <w:jc w:val="center"/>
              <w:rPr>
                <w:color w:val="auto"/>
                <w:kern w:val="24"/>
                <w:sz w:val="24"/>
                <w:highlight w:val="none"/>
              </w:rPr>
            </w:pPr>
            <w:r>
              <w:rPr>
                <w:color w:val="auto"/>
                <w:kern w:val="24"/>
                <w:sz w:val="24"/>
                <w:highlight w:val="none"/>
              </w:rPr>
              <w:t>建设单位</w:t>
            </w:r>
          </w:p>
        </w:tc>
        <w:tc>
          <w:tcPr>
            <w:tcW w:w="7945" w:type="dxa"/>
            <w:gridSpan w:val="8"/>
            <w:vAlign w:val="center"/>
          </w:tcPr>
          <w:p>
            <w:pPr>
              <w:spacing w:line="400" w:lineRule="exact"/>
              <w:jc w:val="left"/>
              <w:rPr>
                <w:rFonts w:hint="eastAsia" w:eastAsia="宋体"/>
                <w:color w:val="auto"/>
                <w:sz w:val="24"/>
                <w:highlight w:val="none"/>
                <w:lang w:eastAsia="zh-CN"/>
              </w:rPr>
            </w:pPr>
            <w:r>
              <w:rPr>
                <w:rFonts w:hint="eastAsia"/>
                <w:color w:val="auto"/>
                <w:sz w:val="24"/>
                <w:highlight w:val="none"/>
                <w:lang w:eastAsia="zh-CN"/>
              </w:rPr>
              <w:t>河北透平风机制造有限公司</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410" w:type="dxa"/>
            <w:vAlign w:val="center"/>
          </w:tcPr>
          <w:p>
            <w:pPr>
              <w:spacing w:line="500" w:lineRule="exact"/>
              <w:jc w:val="center"/>
              <w:rPr>
                <w:color w:val="auto"/>
                <w:kern w:val="24"/>
                <w:sz w:val="24"/>
                <w:highlight w:val="none"/>
              </w:rPr>
            </w:pPr>
            <w:r>
              <w:rPr>
                <w:color w:val="auto"/>
                <w:kern w:val="24"/>
                <w:sz w:val="24"/>
                <w:highlight w:val="none"/>
              </w:rPr>
              <w:t>法人代表</w:t>
            </w:r>
          </w:p>
        </w:tc>
        <w:tc>
          <w:tcPr>
            <w:tcW w:w="3021" w:type="dxa"/>
            <w:gridSpan w:val="4"/>
            <w:vAlign w:val="center"/>
          </w:tcPr>
          <w:p>
            <w:pPr>
              <w:rPr>
                <w:rFonts w:hint="eastAsia" w:eastAsia="宋体"/>
                <w:color w:val="auto"/>
                <w:highlight w:val="none"/>
                <w:lang w:eastAsia="zh-CN"/>
              </w:rPr>
            </w:pPr>
            <w:r>
              <w:rPr>
                <w:rFonts w:hint="eastAsia"/>
                <w:color w:val="auto"/>
                <w:kern w:val="24"/>
                <w:sz w:val="24"/>
                <w:highlight w:val="none"/>
                <w:lang w:eastAsia="zh-CN"/>
              </w:rPr>
              <w:t>贾建元</w:t>
            </w:r>
          </w:p>
        </w:tc>
        <w:tc>
          <w:tcPr>
            <w:tcW w:w="1915" w:type="dxa"/>
            <w:vAlign w:val="center"/>
          </w:tcPr>
          <w:p>
            <w:pPr>
              <w:spacing w:line="500" w:lineRule="exact"/>
              <w:jc w:val="center"/>
              <w:rPr>
                <w:color w:val="auto"/>
                <w:kern w:val="24"/>
                <w:sz w:val="24"/>
                <w:highlight w:val="none"/>
              </w:rPr>
            </w:pPr>
            <w:r>
              <w:rPr>
                <w:color w:val="auto"/>
                <w:kern w:val="24"/>
                <w:sz w:val="24"/>
                <w:highlight w:val="none"/>
              </w:rPr>
              <w:t>联 系 人</w:t>
            </w:r>
          </w:p>
        </w:tc>
        <w:tc>
          <w:tcPr>
            <w:tcW w:w="3009" w:type="dxa"/>
            <w:gridSpan w:val="3"/>
            <w:vAlign w:val="center"/>
          </w:tcPr>
          <w:p>
            <w:pPr>
              <w:spacing w:line="500" w:lineRule="exact"/>
              <w:jc w:val="center"/>
              <w:rPr>
                <w:rFonts w:hint="eastAsia" w:eastAsia="宋体"/>
                <w:color w:val="auto"/>
                <w:kern w:val="24"/>
                <w:sz w:val="24"/>
                <w:highlight w:val="none"/>
                <w:lang w:eastAsia="zh-CN"/>
              </w:rPr>
            </w:pPr>
            <w:r>
              <w:rPr>
                <w:rFonts w:hint="eastAsia"/>
                <w:color w:val="auto"/>
                <w:kern w:val="24"/>
                <w:sz w:val="24"/>
                <w:highlight w:val="none"/>
                <w:lang w:eastAsia="zh-CN"/>
              </w:rPr>
              <w:t>杨桂民</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410" w:type="dxa"/>
            <w:vAlign w:val="center"/>
          </w:tcPr>
          <w:p>
            <w:pPr>
              <w:spacing w:line="480" w:lineRule="exact"/>
              <w:jc w:val="center"/>
              <w:rPr>
                <w:color w:val="auto"/>
                <w:kern w:val="24"/>
                <w:sz w:val="24"/>
                <w:highlight w:val="none"/>
              </w:rPr>
            </w:pPr>
            <w:r>
              <w:rPr>
                <w:color w:val="auto"/>
                <w:kern w:val="24"/>
                <w:sz w:val="24"/>
                <w:highlight w:val="none"/>
              </w:rPr>
              <w:t>通讯地址</w:t>
            </w:r>
          </w:p>
        </w:tc>
        <w:tc>
          <w:tcPr>
            <w:tcW w:w="7945" w:type="dxa"/>
            <w:gridSpan w:val="8"/>
            <w:vAlign w:val="center"/>
          </w:tcPr>
          <w:p>
            <w:pPr>
              <w:jc w:val="left"/>
              <w:rPr>
                <w:rFonts w:hint="eastAsia" w:eastAsia="宋体"/>
                <w:color w:val="auto"/>
                <w:kern w:val="24"/>
                <w:sz w:val="24"/>
                <w:highlight w:val="none"/>
                <w:lang w:eastAsia="zh-CN"/>
              </w:rPr>
            </w:pPr>
            <w:r>
              <w:rPr>
                <w:rFonts w:hint="eastAsia"/>
                <w:color w:val="auto"/>
                <w:kern w:val="24"/>
                <w:sz w:val="24"/>
                <w:highlight w:val="none"/>
                <w:lang w:eastAsia="zh-CN"/>
              </w:rPr>
              <w:t>河北迁安经济开发区纬九街南侧、纬十街北侧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410" w:type="dxa"/>
            <w:vAlign w:val="center"/>
          </w:tcPr>
          <w:p>
            <w:pPr>
              <w:spacing w:line="480" w:lineRule="exact"/>
              <w:jc w:val="center"/>
              <w:rPr>
                <w:color w:val="auto"/>
                <w:kern w:val="24"/>
                <w:sz w:val="24"/>
                <w:highlight w:val="none"/>
              </w:rPr>
            </w:pPr>
            <w:r>
              <w:rPr>
                <w:color w:val="auto"/>
                <w:kern w:val="24"/>
                <w:sz w:val="24"/>
                <w:highlight w:val="none"/>
              </w:rPr>
              <w:t>联系电话</w:t>
            </w:r>
          </w:p>
        </w:tc>
        <w:tc>
          <w:tcPr>
            <w:tcW w:w="1548" w:type="dxa"/>
            <w:gridSpan w:val="3"/>
            <w:vAlign w:val="center"/>
          </w:tcPr>
          <w:p>
            <w:pPr>
              <w:spacing w:line="480" w:lineRule="exact"/>
              <w:jc w:val="center"/>
              <w:rPr>
                <w:rFonts w:hint="eastAsia" w:eastAsia="宋体"/>
                <w:color w:val="auto"/>
                <w:kern w:val="24"/>
                <w:sz w:val="24"/>
                <w:highlight w:val="none"/>
                <w:lang w:val="en-US" w:eastAsia="zh-CN"/>
              </w:rPr>
            </w:pPr>
            <w:r>
              <w:rPr>
                <w:rFonts w:hint="eastAsia"/>
                <w:color w:val="auto"/>
                <w:kern w:val="24"/>
                <w:sz w:val="24"/>
                <w:highlight w:val="none"/>
                <w:lang w:eastAsia="zh-CN"/>
              </w:rPr>
              <w:t>15127528008</w:t>
            </w:r>
          </w:p>
        </w:tc>
        <w:tc>
          <w:tcPr>
            <w:tcW w:w="1473" w:type="dxa"/>
            <w:vAlign w:val="center"/>
          </w:tcPr>
          <w:p>
            <w:pPr>
              <w:spacing w:line="480" w:lineRule="exact"/>
              <w:jc w:val="center"/>
              <w:rPr>
                <w:color w:val="auto"/>
                <w:kern w:val="24"/>
                <w:sz w:val="24"/>
                <w:highlight w:val="none"/>
              </w:rPr>
            </w:pPr>
            <w:r>
              <w:rPr>
                <w:color w:val="auto"/>
                <w:kern w:val="24"/>
                <w:sz w:val="24"/>
                <w:highlight w:val="none"/>
              </w:rPr>
              <w:t>传真</w:t>
            </w:r>
          </w:p>
        </w:tc>
        <w:tc>
          <w:tcPr>
            <w:tcW w:w="1915" w:type="dxa"/>
            <w:vAlign w:val="center"/>
          </w:tcPr>
          <w:p>
            <w:pPr>
              <w:spacing w:line="480" w:lineRule="exact"/>
              <w:jc w:val="center"/>
              <w:rPr>
                <w:color w:val="auto"/>
                <w:kern w:val="24"/>
                <w:sz w:val="24"/>
                <w:highlight w:val="none"/>
              </w:rPr>
            </w:pPr>
          </w:p>
        </w:tc>
        <w:tc>
          <w:tcPr>
            <w:tcW w:w="1753" w:type="dxa"/>
            <w:vAlign w:val="center"/>
          </w:tcPr>
          <w:p>
            <w:pPr>
              <w:spacing w:line="480" w:lineRule="exact"/>
              <w:jc w:val="center"/>
              <w:rPr>
                <w:color w:val="auto"/>
                <w:kern w:val="24"/>
                <w:sz w:val="24"/>
                <w:highlight w:val="none"/>
              </w:rPr>
            </w:pPr>
            <w:r>
              <w:rPr>
                <w:color w:val="auto"/>
                <w:kern w:val="24"/>
                <w:sz w:val="24"/>
                <w:highlight w:val="none"/>
              </w:rPr>
              <w:t>邮政编码</w:t>
            </w:r>
          </w:p>
        </w:tc>
        <w:tc>
          <w:tcPr>
            <w:tcW w:w="1256" w:type="dxa"/>
            <w:gridSpan w:val="2"/>
            <w:vAlign w:val="center"/>
          </w:tcPr>
          <w:p>
            <w:pPr>
              <w:spacing w:line="480" w:lineRule="exact"/>
              <w:jc w:val="center"/>
              <w:rPr>
                <w:rFonts w:hint="default" w:eastAsia="宋体"/>
                <w:color w:val="auto"/>
                <w:kern w:val="24"/>
                <w:sz w:val="24"/>
                <w:highlight w:val="none"/>
                <w:lang w:val="en-US" w:eastAsia="zh-CN"/>
              </w:rPr>
            </w:pPr>
            <w:r>
              <w:rPr>
                <w:color w:val="auto"/>
                <w:kern w:val="24"/>
                <w:sz w:val="24"/>
                <w:highlight w:val="none"/>
              </w:rPr>
              <w:t>06</w:t>
            </w:r>
            <w:r>
              <w:rPr>
                <w:rFonts w:hint="eastAsia"/>
                <w:color w:val="auto"/>
                <w:kern w:val="24"/>
                <w:sz w:val="24"/>
                <w:highlight w:val="none"/>
                <w:lang w:val="en-US" w:eastAsia="zh-CN"/>
              </w:rPr>
              <w:t>4300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90" w:hRule="atLeast"/>
          <w:jc w:val="center"/>
        </w:trPr>
        <w:tc>
          <w:tcPr>
            <w:tcW w:w="1410" w:type="dxa"/>
            <w:vAlign w:val="center"/>
          </w:tcPr>
          <w:p>
            <w:pPr>
              <w:spacing w:line="480" w:lineRule="exact"/>
              <w:jc w:val="center"/>
              <w:rPr>
                <w:color w:val="auto"/>
                <w:kern w:val="24"/>
                <w:sz w:val="24"/>
                <w:highlight w:val="none"/>
              </w:rPr>
            </w:pPr>
            <w:r>
              <w:rPr>
                <w:color w:val="auto"/>
                <w:kern w:val="24"/>
                <w:sz w:val="24"/>
                <w:highlight w:val="none"/>
              </w:rPr>
              <w:t>建设地点</w:t>
            </w:r>
          </w:p>
        </w:tc>
        <w:tc>
          <w:tcPr>
            <w:tcW w:w="7945" w:type="dxa"/>
            <w:gridSpan w:val="8"/>
            <w:vAlign w:val="center"/>
          </w:tcPr>
          <w:p>
            <w:pPr>
              <w:spacing w:line="480" w:lineRule="exact"/>
              <w:jc w:val="left"/>
              <w:rPr>
                <w:rFonts w:hint="eastAsia" w:eastAsia="宋体"/>
                <w:color w:val="auto"/>
                <w:kern w:val="24"/>
                <w:sz w:val="24"/>
                <w:highlight w:val="none"/>
                <w:lang w:eastAsia="zh-CN"/>
              </w:rPr>
            </w:pPr>
            <w:r>
              <w:rPr>
                <w:rFonts w:hint="eastAsia"/>
                <w:color w:val="auto"/>
                <w:kern w:val="24"/>
                <w:sz w:val="24"/>
                <w:highlight w:val="none"/>
                <w:lang w:eastAsia="zh-CN"/>
              </w:rPr>
              <w:t>河北迁安经济开发区纬九街南侧、纬十街北侧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777" w:type="dxa"/>
            <w:gridSpan w:val="2"/>
            <w:vAlign w:val="center"/>
          </w:tcPr>
          <w:p>
            <w:pPr>
              <w:spacing w:line="480" w:lineRule="exact"/>
              <w:jc w:val="center"/>
              <w:rPr>
                <w:color w:val="auto"/>
                <w:kern w:val="24"/>
                <w:sz w:val="24"/>
                <w:highlight w:val="none"/>
              </w:rPr>
            </w:pPr>
            <w:r>
              <w:rPr>
                <w:color w:val="auto"/>
                <w:kern w:val="24"/>
                <w:sz w:val="24"/>
                <w:highlight w:val="none"/>
              </w:rPr>
              <w:t>立项审批部门</w:t>
            </w:r>
          </w:p>
        </w:tc>
        <w:tc>
          <w:tcPr>
            <w:tcW w:w="2654" w:type="dxa"/>
            <w:gridSpan w:val="3"/>
            <w:vAlign w:val="center"/>
          </w:tcPr>
          <w:p>
            <w:pPr>
              <w:jc w:val="center"/>
              <w:rPr>
                <w:color w:val="auto"/>
                <w:kern w:val="24"/>
                <w:sz w:val="24"/>
                <w:highlight w:val="none"/>
              </w:rPr>
            </w:pPr>
            <w:r>
              <w:rPr>
                <w:rFonts w:hint="eastAsia"/>
                <w:color w:val="auto"/>
                <w:kern w:val="24"/>
                <w:sz w:val="24"/>
                <w:highlight w:val="none"/>
                <w:lang w:eastAsia="zh-CN"/>
              </w:rPr>
              <w:t>河北迁安经济开发区行政审批局</w:t>
            </w:r>
          </w:p>
        </w:tc>
        <w:tc>
          <w:tcPr>
            <w:tcW w:w="1915" w:type="dxa"/>
            <w:vAlign w:val="center"/>
          </w:tcPr>
          <w:p>
            <w:pPr>
              <w:spacing w:line="480" w:lineRule="exact"/>
              <w:jc w:val="center"/>
              <w:rPr>
                <w:color w:val="auto"/>
                <w:kern w:val="24"/>
                <w:sz w:val="24"/>
                <w:highlight w:val="none"/>
              </w:rPr>
            </w:pPr>
            <w:r>
              <w:rPr>
                <w:color w:val="auto"/>
                <w:kern w:val="24"/>
                <w:sz w:val="24"/>
                <w:highlight w:val="none"/>
              </w:rPr>
              <w:t>批准文号</w:t>
            </w:r>
          </w:p>
        </w:tc>
        <w:tc>
          <w:tcPr>
            <w:tcW w:w="3009" w:type="dxa"/>
            <w:gridSpan w:val="3"/>
            <w:tcMar>
              <w:left w:w="0" w:type="dxa"/>
              <w:right w:w="0" w:type="dxa"/>
            </w:tcMar>
            <w:vAlign w:val="center"/>
          </w:tcPr>
          <w:p>
            <w:pPr>
              <w:spacing w:line="480" w:lineRule="exact"/>
              <w:jc w:val="center"/>
              <w:rPr>
                <w:color w:val="auto"/>
                <w:kern w:val="24"/>
                <w:sz w:val="24"/>
                <w:highlight w:val="none"/>
              </w:rPr>
            </w:pPr>
            <w:r>
              <w:rPr>
                <w:rFonts w:hint="eastAsia"/>
                <w:color w:val="auto"/>
                <w:kern w:val="24"/>
                <w:sz w:val="24"/>
                <w:highlight w:val="none"/>
                <w:lang w:eastAsia="zh-CN"/>
              </w:rPr>
              <w:t>迁经开行审投资备字[2020]29号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90" w:hRule="atLeast"/>
          <w:jc w:val="center"/>
        </w:trPr>
        <w:tc>
          <w:tcPr>
            <w:tcW w:w="1410" w:type="dxa"/>
            <w:vAlign w:val="center"/>
          </w:tcPr>
          <w:p>
            <w:pPr>
              <w:spacing w:line="480" w:lineRule="exact"/>
              <w:jc w:val="center"/>
              <w:rPr>
                <w:color w:val="auto"/>
                <w:kern w:val="24"/>
                <w:sz w:val="24"/>
                <w:highlight w:val="none"/>
              </w:rPr>
            </w:pPr>
            <w:r>
              <w:rPr>
                <w:color w:val="auto"/>
                <w:kern w:val="24"/>
                <w:sz w:val="24"/>
                <w:highlight w:val="none"/>
              </w:rPr>
              <w:t>建设性质</w:t>
            </w:r>
          </w:p>
        </w:tc>
        <w:tc>
          <w:tcPr>
            <w:tcW w:w="3021" w:type="dxa"/>
            <w:gridSpan w:val="4"/>
            <w:vAlign w:val="center"/>
          </w:tcPr>
          <w:p>
            <w:pPr>
              <w:spacing w:line="480" w:lineRule="exact"/>
              <w:jc w:val="center"/>
              <w:rPr>
                <w:color w:val="auto"/>
                <w:kern w:val="24"/>
                <w:sz w:val="24"/>
                <w:highlight w:val="none"/>
              </w:rPr>
            </w:pPr>
            <w:r>
              <w:rPr>
                <w:rFonts w:hint="eastAsia"/>
                <w:color w:val="auto"/>
                <w:kern w:val="24"/>
                <w:sz w:val="24"/>
                <w:highlight w:val="none"/>
                <w:lang w:eastAsia="zh-CN"/>
              </w:rPr>
              <w:t>技改</w:t>
            </w:r>
          </w:p>
        </w:tc>
        <w:tc>
          <w:tcPr>
            <w:tcW w:w="1915" w:type="dxa"/>
            <w:vAlign w:val="center"/>
          </w:tcPr>
          <w:p>
            <w:pPr>
              <w:spacing w:line="480" w:lineRule="exact"/>
              <w:jc w:val="center"/>
              <w:rPr>
                <w:color w:val="auto"/>
                <w:kern w:val="24"/>
                <w:sz w:val="24"/>
                <w:highlight w:val="none"/>
              </w:rPr>
            </w:pPr>
            <w:r>
              <w:rPr>
                <w:color w:val="auto"/>
                <w:kern w:val="24"/>
                <w:sz w:val="24"/>
                <w:highlight w:val="none"/>
              </w:rPr>
              <w:t>行业类别及代码</w:t>
            </w:r>
          </w:p>
        </w:tc>
        <w:tc>
          <w:tcPr>
            <w:tcW w:w="3009" w:type="dxa"/>
            <w:gridSpan w:val="3"/>
            <w:vAlign w:val="center"/>
          </w:tcPr>
          <w:p>
            <w:pPr>
              <w:jc w:val="center"/>
              <w:rPr>
                <w:rFonts w:hint="default" w:eastAsia="宋体"/>
                <w:color w:val="auto"/>
                <w:kern w:val="24"/>
                <w:sz w:val="24"/>
                <w:highlight w:val="none"/>
                <w:lang w:val="en-US" w:eastAsia="zh-CN"/>
              </w:rPr>
            </w:pPr>
            <w:r>
              <w:rPr>
                <w:rFonts w:hint="eastAsia"/>
                <w:color w:val="auto"/>
                <w:sz w:val="24"/>
                <w:highlight w:val="none"/>
                <w:lang w:eastAsia="zh-CN"/>
              </w:rPr>
              <w:t>金属制品C</w:t>
            </w:r>
            <w:r>
              <w:rPr>
                <w:rFonts w:hint="eastAsia"/>
                <w:color w:val="auto"/>
                <w:sz w:val="24"/>
                <w:highlight w:val="none"/>
                <w:lang w:val="en-US" w:eastAsia="zh-CN"/>
              </w:rPr>
              <w:t>33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410" w:type="dxa"/>
            <w:vAlign w:val="center"/>
          </w:tcPr>
          <w:p>
            <w:pPr>
              <w:jc w:val="center"/>
              <w:rPr>
                <w:color w:val="auto"/>
                <w:kern w:val="24"/>
                <w:sz w:val="24"/>
                <w:highlight w:val="none"/>
              </w:rPr>
            </w:pPr>
            <w:r>
              <w:rPr>
                <w:color w:val="auto"/>
                <w:kern w:val="24"/>
                <w:sz w:val="24"/>
                <w:highlight w:val="none"/>
              </w:rPr>
              <w:t>占地面积</w:t>
            </w:r>
          </w:p>
          <w:p>
            <w:pPr>
              <w:jc w:val="center"/>
              <w:rPr>
                <w:color w:val="auto"/>
                <w:kern w:val="24"/>
                <w:sz w:val="24"/>
                <w:highlight w:val="none"/>
              </w:rPr>
            </w:pPr>
            <w:r>
              <w:rPr>
                <w:color w:val="auto"/>
                <w:kern w:val="24"/>
                <w:sz w:val="24"/>
                <w:highlight w:val="none"/>
              </w:rPr>
              <w:t>(平方米)</w:t>
            </w:r>
          </w:p>
        </w:tc>
        <w:tc>
          <w:tcPr>
            <w:tcW w:w="3021" w:type="dxa"/>
            <w:gridSpan w:val="4"/>
            <w:vAlign w:val="center"/>
          </w:tcPr>
          <w:p>
            <w:pPr>
              <w:jc w:val="center"/>
              <w:rPr>
                <w:rFonts w:hint="default" w:eastAsia="宋体"/>
                <w:color w:val="auto"/>
                <w:kern w:val="24"/>
                <w:sz w:val="24"/>
                <w:highlight w:val="none"/>
                <w:lang w:val="en-US" w:eastAsia="zh-CN"/>
              </w:rPr>
            </w:pPr>
            <w:r>
              <w:rPr>
                <w:rFonts w:hint="eastAsia"/>
                <w:color w:val="auto"/>
                <w:kern w:val="24"/>
                <w:sz w:val="24"/>
                <w:highlight w:val="none"/>
                <w:lang w:val="en-US" w:eastAsia="zh-CN"/>
              </w:rPr>
              <w:t>13161.3（19.74亩）</w:t>
            </w:r>
          </w:p>
        </w:tc>
        <w:tc>
          <w:tcPr>
            <w:tcW w:w="1915" w:type="dxa"/>
            <w:vAlign w:val="center"/>
          </w:tcPr>
          <w:p>
            <w:pPr>
              <w:jc w:val="center"/>
              <w:rPr>
                <w:color w:val="auto"/>
                <w:kern w:val="24"/>
                <w:sz w:val="24"/>
                <w:highlight w:val="none"/>
              </w:rPr>
            </w:pPr>
            <w:r>
              <w:rPr>
                <w:color w:val="auto"/>
                <w:kern w:val="24"/>
                <w:sz w:val="24"/>
                <w:highlight w:val="none"/>
              </w:rPr>
              <w:t>绿化面积</w:t>
            </w:r>
          </w:p>
          <w:p>
            <w:pPr>
              <w:jc w:val="center"/>
              <w:rPr>
                <w:color w:val="auto"/>
                <w:kern w:val="24"/>
                <w:sz w:val="24"/>
                <w:highlight w:val="none"/>
              </w:rPr>
            </w:pPr>
            <w:r>
              <w:rPr>
                <w:color w:val="auto"/>
                <w:kern w:val="24"/>
                <w:sz w:val="24"/>
                <w:highlight w:val="none"/>
              </w:rPr>
              <w:t>(平方米)</w:t>
            </w:r>
          </w:p>
        </w:tc>
        <w:tc>
          <w:tcPr>
            <w:tcW w:w="3009" w:type="dxa"/>
            <w:gridSpan w:val="3"/>
            <w:vAlign w:val="center"/>
          </w:tcPr>
          <w:p>
            <w:pPr>
              <w:spacing w:line="480" w:lineRule="exact"/>
              <w:jc w:val="center"/>
              <w:rPr>
                <w:rFonts w:hint="default" w:eastAsia="宋体"/>
                <w:color w:val="auto"/>
                <w:kern w:val="24"/>
                <w:sz w:val="24"/>
                <w:highlight w:val="none"/>
                <w:lang w:val="en-US" w:eastAsia="zh-CN"/>
              </w:rPr>
            </w:pPr>
            <w:r>
              <w:rPr>
                <w:rFonts w:hint="eastAsia"/>
                <w:color w:val="auto"/>
                <w:kern w:val="24"/>
                <w:sz w:val="24"/>
                <w:highlight w:val="none"/>
                <w:lang w:val="en-US"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410" w:type="dxa"/>
            <w:vAlign w:val="center"/>
          </w:tcPr>
          <w:p>
            <w:pPr>
              <w:jc w:val="center"/>
              <w:rPr>
                <w:color w:val="auto"/>
                <w:kern w:val="24"/>
                <w:sz w:val="24"/>
                <w:highlight w:val="none"/>
              </w:rPr>
            </w:pPr>
            <w:r>
              <w:rPr>
                <w:color w:val="auto"/>
                <w:kern w:val="24"/>
                <w:sz w:val="24"/>
                <w:highlight w:val="none"/>
              </w:rPr>
              <w:t>总投资</w:t>
            </w:r>
          </w:p>
          <w:p>
            <w:pPr>
              <w:jc w:val="center"/>
              <w:rPr>
                <w:color w:val="auto"/>
                <w:kern w:val="24"/>
                <w:sz w:val="24"/>
                <w:highlight w:val="none"/>
              </w:rPr>
            </w:pPr>
            <w:r>
              <w:rPr>
                <w:color w:val="auto"/>
                <w:kern w:val="24"/>
                <w:sz w:val="24"/>
                <w:highlight w:val="none"/>
              </w:rPr>
              <w:t>(万元)</w:t>
            </w:r>
          </w:p>
        </w:tc>
        <w:tc>
          <w:tcPr>
            <w:tcW w:w="1362" w:type="dxa"/>
            <w:gridSpan w:val="2"/>
            <w:vAlign w:val="center"/>
          </w:tcPr>
          <w:p>
            <w:pPr>
              <w:jc w:val="center"/>
              <w:rPr>
                <w:rFonts w:hint="default"/>
                <w:color w:val="auto"/>
                <w:kern w:val="24"/>
                <w:sz w:val="24"/>
                <w:highlight w:val="none"/>
                <w:lang w:val="en-US"/>
              </w:rPr>
            </w:pPr>
            <w:r>
              <w:rPr>
                <w:rFonts w:hint="eastAsia"/>
                <w:color w:val="auto"/>
                <w:kern w:val="24"/>
                <w:sz w:val="24"/>
                <w:highlight w:val="none"/>
                <w:lang w:val="en-US" w:eastAsia="zh-CN"/>
              </w:rPr>
              <w:t>995.68</w:t>
            </w:r>
          </w:p>
        </w:tc>
        <w:tc>
          <w:tcPr>
            <w:tcW w:w="1659" w:type="dxa"/>
            <w:gridSpan w:val="2"/>
            <w:vAlign w:val="center"/>
          </w:tcPr>
          <w:p>
            <w:pPr>
              <w:jc w:val="center"/>
              <w:rPr>
                <w:color w:val="auto"/>
                <w:kern w:val="24"/>
                <w:sz w:val="24"/>
                <w:highlight w:val="none"/>
              </w:rPr>
            </w:pPr>
            <w:r>
              <w:rPr>
                <w:color w:val="auto"/>
                <w:kern w:val="24"/>
                <w:sz w:val="24"/>
                <w:highlight w:val="none"/>
              </w:rPr>
              <w:t>其中：环保投资(万元)</w:t>
            </w:r>
          </w:p>
        </w:tc>
        <w:tc>
          <w:tcPr>
            <w:tcW w:w="1915" w:type="dxa"/>
            <w:vAlign w:val="center"/>
          </w:tcPr>
          <w:p>
            <w:pPr>
              <w:jc w:val="center"/>
              <w:rPr>
                <w:rFonts w:hint="default" w:eastAsia="宋体"/>
                <w:color w:val="auto"/>
                <w:kern w:val="24"/>
                <w:sz w:val="24"/>
                <w:highlight w:val="none"/>
                <w:lang w:val="en-US" w:eastAsia="zh-CN"/>
              </w:rPr>
            </w:pPr>
            <w:r>
              <w:rPr>
                <w:rFonts w:hint="eastAsia"/>
                <w:color w:val="auto"/>
                <w:kern w:val="24"/>
                <w:sz w:val="24"/>
                <w:highlight w:val="none"/>
                <w:lang w:val="en-US" w:eastAsia="zh-CN"/>
              </w:rPr>
              <w:t>30</w:t>
            </w:r>
          </w:p>
        </w:tc>
        <w:tc>
          <w:tcPr>
            <w:tcW w:w="1928" w:type="dxa"/>
            <w:gridSpan w:val="2"/>
            <w:vAlign w:val="center"/>
          </w:tcPr>
          <w:p>
            <w:pPr>
              <w:jc w:val="center"/>
              <w:rPr>
                <w:color w:val="auto"/>
                <w:kern w:val="24"/>
                <w:sz w:val="24"/>
                <w:highlight w:val="none"/>
              </w:rPr>
            </w:pPr>
            <w:r>
              <w:rPr>
                <w:color w:val="auto"/>
                <w:kern w:val="24"/>
                <w:sz w:val="24"/>
                <w:highlight w:val="none"/>
              </w:rPr>
              <w:t>环保投资占总投资比例</w:t>
            </w:r>
          </w:p>
        </w:tc>
        <w:tc>
          <w:tcPr>
            <w:tcW w:w="1081" w:type="dxa"/>
            <w:vAlign w:val="center"/>
          </w:tcPr>
          <w:p>
            <w:pPr>
              <w:spacing w:line="480" w:lineRule="exact"/>
              <w:jc w:val="center"/>
              <w:rPr>
                <w:color w:val="auto"/>
                <w:kern w:val="24"/>
                <w:sz w:val="24"/>
                <w:highlight w:val="none"/>
              </w:rPr>
            </w:pPr>
            <w:r>
              <w:rPr>
                <w:rFonts w:hint="eastAsia"/>
                <w:color w:val="auto"/>
                <w:kern w:val="24"/>
                <w:sz w:val="24"/>
                <w:highlight w:val="none"/>
                <w:lang w:val="en-US" w:eastAsia="zh-CN"/>
              </w:rPr>
              <w:t>3.013</w:t>
            </w:r>
            <w:r>
              <w:rPr>
                <w:color w:val="auto"/>
                <w:kern w:val="24"/>
                <w:sz w:val="24"/>
                <w:highlight w:val="non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410" w:type="dxa"/>
            <w:vAlign w:val="center"/>
          </w:tcPr>
          <w:p>
            <w:pPr>
              <w:jc w:val="center"/>
              <w:rPr>
                <w:color w:val="auto"/>
                <w:kern w:val="24"/>
                <w:sz w:val="24"/>
                <w:highlight w:val="none"/>
              </w:rPr>
            </w:pPr>
            <w:r>
              <w:rPr>
                <w:color w:val="auto"/>
                <w:kern w:val="24"/>
                <w:sz w:val="24"/>
                <w:highlight w:val="none"/>
              </w:rPr>
              <w:t>评价经费</w:t>
            </w:r>
          </w:p>
          <w:p>
            <w:pPr>
              <w:jc w:val="center"/>
              <w:rPr>
                <w:color w:val="auto"/>
                <w:kern w:val="24"/>
                <w:sz w:val="24"/>
                <w:highlight w:val="none"/>
              </w:rPr>
            </w:pPr>
            <w:r>
              <w:rPr>
                <w:color w:val="auto"/>
                <w:kern w:val="24"/>
                <w:sz w:val="24"/>
                <w:highlight w:val="none"/>
              </w:rPr>
              <w:t>(万元)</w:t>
            </w:r>
          </w:p>
        </w:tc>
        <w:tc>
          <w:tcPr>
            <w:tcW w:w="1362" w:type="dxa"/>
            <w:gridSpan w:val="2"/>
            <w:vAlign w:val="center"/>
          </w:tcPr>
          <w:p>
            <w:pPr>
              <w:jc w:val="center"/>
              <w:rPr>
                <w:color w:val="auto"/>
                <w:kern w:val="24"/>
                <w:sz w:val="24"/>
                <w:highlight w:val="none"/>
              </w:rPr>
            </w:pPr>
          </w:p>
        </w:tc>
        <w:tc>
          <w:tcPr>
            <w:tcW w:w="1659" w:type="dxa"/>
            <w:gridSpan w:val="2"/>
            <w:vAlign w:val="center"/>
          </w:tcPr>
          <w:p>
            <w:pPr>
              <w:jc w:val="center"/>
              <w:rPr>
                <w:color w:val="auto"/>
                <w:kern w:val="24"/>
                <w:sz w:val="24"/>
                <w:highlight w:val="none"/>
              </w:rPr>
            </w:pPr>
            <w:r>
              <w:rPr>
                <w:color w:val="auto"/>
                <w:kern w:val="24"/>
                <w:sz w:val="24"/>
                <w:highlight w:val="none"/>
              </w:rPr>
              <w:t>预期投产日期</w:t>
            </w:r>
          </w:p>
        </w:tc>
        <w:tc>
          <w:tcPr>
            <w:tcW w:w="4924" w:type="dxa"/>
            <w:gridSpan w:val="4"/>
            <w:vAlign w:val="center"/>
          </w:tcPr>
          <w:p>
            <w:pPr>
              <w:jc w:val="center"/>
              <w:rPr>
                <w:color w:val="auto"/>
                <w:kern w:val="24"/>
                <w:sz w:val="24"/>
                <w:highlight w:val="none"/>
              </w:rPr>
            </w:pPr>
            <w:r>
              <w:rPr>
                <w:color w:val="auto"/>
                <w:kern w:val="24"/>
                <w:sz w:val="24"/>
                <w:highlight w:val="none"/>
              </w:rPr>
              <w:t>20</w:t>
            </w:r>
            <w:r>
              <w:rPr>
                <w:rFonts w:hint="eastAsia"/>
                <w:color w:val="auto"/>
                <w:kern w:val="24"/>
                <w:sz w:val="24"/>
                <w:highlight w:val="none"/>
                <w:lang w:val="en-US" w:eastAsia="zh-CN"/>
              </w:rPr>
              <w:t>21</w:t>
            </w:r>
            <w:r>
              <w:rPr>
                <w:color w:val="auto"/>
                <w:kern w:val="24"/>
                <w:sz w:val="24"/>
                <w:highlight w:val="none"/>
              </w:rPr>
              <w:t>年</w:t>
            </w:r>
            <w:r>
              <w:rPr>
                <w:rFonts w:hint="eastAsia"/>
                <w:color w:val="auto"/>
                <w:kern w:val="24"/>
                <w:sz w:val="24"/>
                <w:highlight w:val="none"/>
                <w:lang w:val="en-US" w:eastAsia="zh-CN"/>
              </w:rPr>
              <w:t>2</w:t>
            </w:r>
            <w:r>
              <w:rPr>
                <w:color w:val="auto"/>
                <w:kern w:val="24"/>
                <w:sz w:val="24"/>
                <w:highlight w:val="none"/>
              </w:rPr>
              <w:t>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1555" w:hRule="atLeast"/>
          <w:jc w:val="center"/>
        </w:trPr>
        <w:tc>
          <w:tcPr>
            <w:tcW w:w="9355" w:type="dxa"/>
            <w:gridSpan w:val="9"/>
          </w:tcPr>
          <w:p>
            <w:pPr>
              <w:autoSpaceDE w:val="0"/>
              <w:autoSpaceDN w:val="0"/>
              <w:adjustRightInd w:val="0"/>
              <w:spacing w:line="500" w:lineRule="exact"/>
              <w:rPr>
                <w:color w:val="auto"/>
                <w:kern w:val="0"/>
                <w:sz w:val="28"/>
                <w:szCs w:val="28"/>
                <w:highlight w:val="none"/>
              </w:rPr>
            </w:pPr>
            <w:r>
              <w:rPr>
                <w:color w:val="auto"/>
                <w:kern w:val="0"/>
                <w:sz w:val="28"/>
                <w:szCs w:val="28"/>
                <w:highlight w:val="none"/>
              </w:rPr>
              <w:t>工程内容及规模：</w:t>
            </w:r>
          </w:p>
          <w:p>
            <w:pPr>
              <w:pStyle w:val="27"/>
              <w:spacing w:before="0" w:beforeAutospacing="0" w:after="0" w:afterAutospacing="0" w:line="360" w:lineRule="auto"/>
              <w:ind w:firstLine="480" w:firstLineChars="200"/>
              <w:jc w:val="both"/>
              <w:rPr>
                <w:rFonts w:hint="eastAsia"/>
                <w:color w:val="auto"/>
                <w:sz w:val="24"/>
                <w:highlight w:val="none"/>
                <w:lang w:val="en-US" w:eastAsia="zh-CN"/>
              </w:rPr>
            </w:pPr>
            <w:r>
              <w:rPr>
                <w:rFonts w:hint="eastAsia" w:ascii="Times New Roman" w:hAnsi="Times New Roman"/>
                <w:shadow w:val="0"/>
                <w:emboss w:val="0"/>
                <w:imprint w:val="0"/>
                <w:color w:val="auto"/>
                <w:sz w:val="24"/>
                <w:highlight w:val="none"/>
                <w:lang w:eastAsia="zh-CN"/>
              </w:rPr>
              <w:t>河北透平风机制造有限公司始建于</w:t>
            </w:r>
            <w:r>
              <w:rPr>
                <w:rFonts w:hint="eastAsia" w:ascii="Times New Roman" w:hAnsi="Times New Roman"/>
                <w:shadow w:val="0"/>
                <w:emboss w:val="0"/>
                <w:imprint w:val="0"/>
                <w:color w:val="auto"/>
                <w:sz w:val="24"/>
                <w:highlight w:val="none"/>
                <w:lang w:val="en-US" w:eastAsia="zh-CN"/>
              </w:rPr>
              <w:t>2015年10月。公司委托唐山立业工程技术咨询有限公司编制了《</w:t>
            </w:r>
            <w:r>
              <w:rPr>
                <w:rFonts w:hint="eastAsia" w:ascii="Times New Roman" w:hAnsi="Times New Roman"/>
                <w:shadow w:val="0"/>
                <w:emboss w:val="0"/>
                <w:imprint w:val="0"/>
                <w:color w:val="auto"/>
                <w:sz w:val="24"/>
                <w:highlight w:val="none"/>
                <w:lang w:eastAsia="zh-CN"/>
              </w:rPr>
              <w:t>河北透平风机制造有限公司</w:t>
            </w:r>
            <w:r>
              <w:rPr>
                <w:rFonts w:hint="eastAsia" w:ascii="Times New Roman" w:hAnsi="Times New Roman"/>
                <w:shadow w:val="0"/>
                <w:emboss w:val="0"/>
                <w:imprint w:val="0"/>
                <w:color w:val="auto"/>
                <w:sz w:val="24"/>
                <w:highlight w:val="none"/>
                <w:lang w:val="en-US" w:eastAsia="zh-CN"/>
              </w:rPr>
              <w:t>激光熔覆修复及透平机配件生产项目》环境影响评价报告表并取得了迁安市环境环保局批复（迁环表[2017]22号）。并</w:t>
            </w:r>
            <w:r>
              <w:rPr>
                <w:rFonts w:hint="default" w:ascii="Times New Roman" w:hAnsi="Times New Roman" w:eastAsia="宋体" w:cs="Times New Roman"/>
                <w:shadow w:val="0"/>
                <w:emboss w:val="0"/>
                <w:imprint w:val="0"/>
                <w:color w:val="auto"/>
                <w:sz w:val="24"/>
                <w:highlight w:val="none"/>
                <w:lang w:val="en-US" w:eastAsia="zh-CN"/>
              </w:rPr>
              <w:t>于</w:t>
            </w:r>
            <w:r>
              <w:rPr>
                <w:rFonts w:hint="eastAsia" w:ascii="Times New Roman" w:hAnsi="Times New Roman" w:cs="Times New Roman"/>
                <w:shadow w:val="0"/>
                <w:emboss w:val="0"/>
                <w:imprint w:val="0"/>
                <w:color w:val="auto"/>
                <w:sz w:val="24"/>
                <w:highlight w:val="none"/>
                <w:lang w:val="en-US" w:eastAsia="zh-CN"/>
              </w:rPr>
              <w:t>2019年1月</w:t>
            </w:r>
            <w:r>
              <w:rPr>
                <w:rFonts w:hint="default" w:ascii="Times New Roman" w:hAnsi="Times New Roman" w:eastAsia="宋体" w:cs="Times New Roman"/>
                <w:shadow w:val="0"/>
                <w:emboss w:val="0"/>
                <w:imprint w:val="0"/>
                <w:color w:val="auto"/>
                <w:sz w:val="24"/>
                <w:highlight w:val="none"/>
                <w:lang w:val="en-US" w:eastAsia="zh-CN"/>
              </w:rPr>
              <w:t>通过竣工环境保护</w:t>
            </w:r>
            <w:r>
              <w:rPr>
                <w:rFonts w:hint="eastAsia" w:ascii="Times New Roman" w:hAnsi="Times New Roman" w:cs="Times New Roman"/>
                <w:shadow w:val="0"/>
                <w:emboss w:val="0"/>
                <w:imprint w:val="0"/>
                <w:color w:val="auto"/>
                <w:sz w:val="24"/>
                <w:highlight w:val="none"/>
                <w:lang w:val="en-US" w:eastAsia="zh-CN"/>
              </w:rPr>
              <w:t>自主</w:t>
            </w:r>
            <w:r>
              <w:rPr>
                <w:rFonts w:hint="default" w:ascii="Times New Roman" w:hAnsi="Times New Roman" w:eastAsia="宋体" w:cs="Times New Roman"/>
                <w:shadow w:val="0"/>
                <w:emboss w:val="0"/>
                <w:imprint w:val="0"/>
                <w:color w:val="auto"/>
                <w:sz w:val="24"/>
                <w:highlight w:val="none"/>
                <w:lang w:val="en-US" w:eastAsia="zh-CN"/>
              </w:rPr>
              <w:t>验收</w:t>
            </w:r>
            <w:r>
              <w:rPr>
                <w:rFonts w:hint="eastAsia" w:ascii="Times New Roman" w:hAnsi="Times New Roman" w:cs="Times New Roman"/>
                <w:shadow w:val="0"/>
                <w:emboss w:val="0"/>
                <w:imprint w:val="0"/>
                <w:color w:val="auto"/>
                <w:sz w:val="24"/>
                <w:highlight w:val="none"/>
                <w:lang w:val="en-US" w:eastAsia="zh-CN"/>
              </w:rPr>
              <w:t>，2019年2月唐山市环境保护局迁安市分局出具了</w:t>
            </w:r>
            <w:r>
              <w:rPr>
                <w:rFonts w:hint="eastAsia" w:ascii="Times New Roman" w:hAnsi="Times New Roman"/>
                <w:shadow w:val="0"/>
                <w:emboss w:val="0"/>
                <w:imprint w:val="0"/>
                <w:color w:val="auto"/>
                <w:sz w:val="24"/>
                <w:highlight w:val="none"/>
                <w:lang w:val="en-US" w:eastAsia="zh-CN"/>
              </w:rPr>
              <w:t>《</w:t>
            </w:r>
            <w:r>
              <w:rPr>
                <w:rFonts w:hint="eastAsia" w:ascii="Times New Roman" w:hAnsi="Times New Roman"/>
                <w:shadow w:val="0"/>
                <w:emboss w:val="0"/>
                <w:imprint w:val="0"/>
                <w:color w:val="auto"/>
                <w:sz w:val="24"/>
                <w:highlight w:val="none"/>
                <w:lang w:eastAsia="zh-CN"/>
              </w:rPr>
              <w:t>河北透平风机制造有限公司</w:t>
            </w:r>
            <w:r>
              <w:rPr>
                <w:rFonts w:hint="eastAsia" w:ascii="Times New Roman" w:hAnsi="Times New Roman"/>
                <w:shadow w:val="0"/>
                <w:emboss w:val="0"/>
                <w:imprint w:val="0"/>
                <w:color w:val="auto"/>
                <w:sz w:val="24"/>
                <w:highlight w:val="none"/>
                <w:lang w:val="en-US" w:eastAsia="zh-CN"/>
              </w:rPr>
              <w:t>激光熔覆修复及透平机配件生产项目》固体废物污染防治设施竣工环境保护验收的批复（迁环表验[2019]13号）。目前</w:t>
            </w:r>
            <w:r>
              <w:rPr>
                <w:rFonts w:hint="eastAsia"/>
                <w:color w:val="auto"/>
                <w:sz w:val="24"/>
                <w:highlight w:val="none"/>
                <w:lang w:val="en-US" w:eastAsia="zh-CN"/>
              </w:rPr>
              <w:t>企业未办理排污许可。</w:t>
            </w:r>
          </w:p>
          <w:p>
            <w:pPr>
              <w:pStyle w:val="27"/>
              <w:spacing w:before="0" w:beforeAutospacing="0" w:after="0" w:afterAutospacing="0" w:line="360" w:lineRule="auto"/>
              <w:ind w:firstLine="480" w:firstLineChars="200"/>
              <w:jc w:val="both"/>
              <w:rPr>
                <w:color w:val="auto"/>
                <w:sz w:val="24"/>
                <w:highlight w:val="none"/>
              </w:rPr>
            </w:pPr>
            <w:r>
              <w:rPr>
                <w:rFonts w:hint="eastAsia"/>
                <w:color w:val="auto"/>
                <w:sz w:val="24"/>
                <w:highlight w:val="none"/>
                <w:lang w:eastAsia="zh-CN"/>
              </w:rPr>
              <w:t>为了节约成本，提高产品品质，提高市场竞争力，河北透平风机制造有限公司拟投资</w:t>
            </w:r>
            <w:r>
              <w:rPr>
                <w:rFonts w:hint="default" w:ascii="Times New Roman" w:hAnsi="Times New Roman" w:cs="Times New Roman"/>
                <w:color w:val="auto"/>
                <w:kern w:val="24"/>
                <w:sz w:val="24"/>
                <w:highlight w:val="none"/>
                <w:lang w:val="en-US" w:eastAsia="zh-CN"/>
              </w:rPr>
              <w:t>995.68</w:t>
            </w:r>
            <w:r>
              <w:rPr>
                <w:rFonts w:hint="eastAsia"/>
                <w:color w:val="auto"/>
                <w:sz w:val="24"/>
                <w:highlight w:val="none"/>
                <w:lang w:val="en-US" w:eastAsia="zh-CN"/>
              </w:rPr>
              <w:t>万元建设</w:t>
            </w:r>
            <w:r>
              <w:rPr>
                <w:rFonts w:hint="eastAsia"/>
                <w:color w:val="auto"/>
                <w:sz w:val="24"/>
                <w:highlight w:val="none"/>
                <w:lang w:eastAsia="zh-CN"/>
              </w:rPr>
              <w:t>透平风机叶片激光熔覆修复及配件生产技改升级项目，主要新增数控加工中心、车床、铣床、钻床等设备，不新增产能。</w:t>
            </w:r>
            <w:r>
              <w:rPr>
                <w:color w:val="auto"/>
                <w:sz w:val="24"/>
                <w:highlight w:val="none"/>
              </w:rPr>
              <w:t>根据《中华人民共和国环境影响评价法》、《建设项目环境保</w:t>
            </w:r>
            <w:r>
              <w:rPr>
                <w:bCs/>
                <w:color w:val="auto"/>
                <w:sz w:val="24"/>
                <w:highlight w:val="none"/>
              </w:rPr>
              <w:t>护管理条例》、《建设项目环境影响评价分</w:t>
            </w:r>
            <w:r>
              <w:rPr>
                <w:rFonts w:ascii="Times New Roman" w:hAnsi="Times New Roman"/>
                <w:bCs/>
                <w:color w:val="auto"/>
                <w:sz w:val="24"/>
                <w:highlight w:val="none"/>
              </w:rPr>
              <w:t>类管理名录》的有关规定，该项目应编制环境影响报告</w:t>
            </w:r>
            <w:r>
              <w:rPr>
                <w:rFonts w:ascii="Times New Roman" w:hAnsi="Times New Roman"/>
                <w:color w:val="auto"/>
                <w:sz w:val="24"/>
                <w:highlight w:val="none"/>
              </w:rPr>
              <w:t>表。</w:t>
            </w:r>
            <w:r>
              <w:rPr>
                <w:rFonts w:hint="eastAsia" w:ascii="Times New Roman" w:hAnsi="Times New Roman"/>
                <w:color w:val="auto"/>
                <w:sz w:val="24"/>
                <w:highlight w:val="none"/>
                <w:lang w:eastAsia="zh-CN"/>
              </w:rPr>
              <w:t>河北透平风机制造有限公司</w:t>
            </w:r>
            <w:r>
              <w:rPr>
                <w:rFonts w:ascii="Times New Roman" w:hAnsi="Times New Roman"/>
                <w:color w:val="auto"/>
                <w:sz w:val="24"/>
                <w:highlight w:val="none"/>
              </w:rPr>
              <w:t>于20</w:t>
            </w:r>
            <w:r>
              <w:rPr>
                <w:rFonts w:hint="eastAsia" w:ascii="Times New Roman" w:hAnsi="Times New Roman"/>
                <w:color w:val="auto"/>
                <w:sz w:val="24"/>
                <w:highlight w:val="none"/>
                <w:lang w:val="en-US" w:eastAsia="zh-CN"/>
              </w:rPr>
              <w:t>20</w:t>
            </w:r>
            <w:r>
              <w:rPr>
                <w:rFonts w:ascii="Times New Roman" w:hAnsi="Times New Roman"/>
                <w:color w:val="auto"/>
                <w:sz w:val="24"/>
                <w:highlight w:val="none"/>
              </w:rPr>
              <w:t>年</w:t>
            </w:r>
            <w:r>
              <w:rPr>
                <w:rFonts w:hint="eastAsia" w:ascii="Times New Roman" w:hAnsi="Times New Roman"/>
                <w:color w:val="auto"/>
                <w:sz w:val="24"/>
                <w:highlight w:val="none"/>
                <w:lang w:val="en-US" w:eastAsia="zh-CN"/>
              </w:rPr>
              <w:t>10</w:t>
            </w:r>
            <w:r>
              <w:rPr>
                <w:rFonts w:ascii="Times New Roman" w:hAnsi="Times New Roman"/>
                <w:color w:val="auto"/>
                <w:sz w:val="24"/>
                <w:highlight w:val="none"/>
              </w:rPr>
              <w:t>月委托河北</w:t>
            </w:r>
            <w:r>
              <w:rPr>
                <w:color w:val="auto"/>
                <w:sz w:val="24"/>
                <w:highlight w:val="none"/>
              </w:rPr>
              <w:t>水美环保科技</w:t>
            </w:r>
            <w:r>
              <w:rPr>
                <w:rFonts w:hint="eastAsia"/>
                <w:color w:val="auto"/>
                <w:sz w:val="24"/>
                <w:highlight w:val="none"/>
              </w:rPr>
              <w:t>股份</w:t>
            </w:r>
            <w:r>
              <w:rPr>
                <w:color w:val="auto"/>
                <w:sz w:val="24"/>
                <w:highlight w:val="none"/>
              </w:rPr>
              <w:t>有限公司承担该项目</w:t>
            </w:r>
            <w:r>
              <w:rPr>
                <w:bCs/>
                <w:color w:val="auto"/>
                <w:sz w:val="24"/>
                <w:highlight w:val="none"/>
              </w:rPr>
              <w:t>的环境影响报告表的编制工作，接受委托后，我单位</w:t>
            </w:r>
            <w:r>
              <w:rPr>
                <w:color w:val="auto"/>
                <w:sz w:val="24"/>
                <w:highlight w:val="none"/>
              </w:rPr>
              <w:t>立即开展了现场踏勘资料收集等工作，并按照《环境影响评价技术导则》的规定编制完成了本项目环境影响报告表。</w:t>
            </w:r>
          </w:p>
          <w:p>
            <w:pPr>
              <w:spacing w:line="420" w:lineRule="exact"/>
              <w:rPr>
                <w:rFonts w:hint="default" w:ascii="Times New Roman" w:hAnsi="Times New Roman" w:eastAsia="宋体" w:cs="Times New Roman"/>
                <w:b/>
                <w:bCs w:val="0"/>
                <w:color w:val="auto"/>
                <w:spacing w:val="8"/>
                <w:sz w:val="24"/>
                <w:szCs w:val="24"/>
                <w:highlight w:val="none"/>
                <w:lang w:eastAsia="zh-CN"/>
              </w:rPr>
            </w:pPr>
            <w:r>
              <w:rPr>
                <w:rFonts w:hint="eastAsia" w:cs="Times New Roman"/>
                <w:b/>
                <w:bCs w:val="0"/>
                <w:color w:val="auto"/>
                <w:spacing w:val="8"/>
                <w:sz w:val="24"/>
                <w:szCs w:val="24"/>
                <w:highlight w:val="none"/>
                <w:lang w:val="en-US" w:eastAsia="zh-CN"/>
              </w:rPr>
              <w:t>一</w:t>
            </w:r>
            <w:r>
              <w:rPr>
                <w:rFonts w:hint="default" w:ascii="Times New Roman" w:hAnsi="Times New Roman" w:eastAsia="宋体" w:cs="Times New Roman"/>
                <w:b/>
                <w:bCs w:val="0"/>
                <w:color w:val="auto"/>
                <w:spacing w:val="8"/>
                <w:sz w:val="24"/>
                <w:szCs w:val="24"/>
                <w:highlight w:val="none"/>
                <w:lang w:eastAsia="zh-CN"/>
              </w:rPr>
              <w:t>、现有工程概况</w:t>
            </w:r>
          </w:p>
          <w:p>
            <w:pPr>
              <w:tabs>
                <w:tab w:val="left" w:pos="314"/>
              </w:tabs>
              <w:spacing w:line="480" w:lineRule="exact"/>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1、基本情况</w:t>
            </w:r>
          </w:p>
          <w:p>
            <w:pPr>
              <w:autoSpaceDE w:val="0"/>
              <w:autoSpaceDN w:val="0"/>
              <w:adjustRightInd w:val="0"/>
              <w:spacing w:line="360" w:lineRule="auto"/>
              <w:ind w:firstLine="480" w:firstLineChars="200"/>
              <w:rPr>
                <w:rFonts w:hint="default" w:eastAsia="宋体"/>
                <w:color w:val="auto"/>
                <w:sz w:val="24"/>
                <w:highlight w:val="none"/>
                <w:lang w:val="en-US" w:eastAsia="zh-CN"/>
              </w:rPr>
            </w:pPr>
            <w:r>
              <w:rPr>
                <w:rFonts w:hint="eastAsia"/>
                <w:color w:val="auto"/>
                <w:sz w:val="24"/>
                <w:highlight w:val="none"/>
                <w:lang w:eastAsia="zh-CN"/>
              </w:rPr>
              <w:t>河北透平风机制造有限公司厂区内建设生产车间</w:t>
            </w:r>
            <w:r>
              <w:rPr>
                <w:rFonts w:hint="eastAsia"/>
                <w:color w:val="auto"/>
                <w:sz w:val="24"/>
                <w:highlight w:val="none"/>
                <w:lang w:val="en-US" w:eastAsia="zh-CN"/>
              </w:rPr>
              <w:t>1座及单层办公室</w:t>
            </w:r>
            <w:r>
              <w:rPr>
                <w:rFonts w:hint="eastAsia"/>
                <w:color w:val="auto"/>
                <w:sz w:val="24"/>
                <w:highlight w:val="none"/>
                <w:lang w:eastAsia="zh-CN"/>
              </w:rPr>
              <w:t>，购置加工中心、焊机、车床</w:t>
            </w:r>
            <w:r>
              <w:rPr>
                <w:rFonts w:hint="eastAsia"/>
                <w:color w:val="auto"/>
                <w:sz w:val="24"/>
                <w:highlight w:val="none"/>
                <w:lang w:val="en-US" w:eastAsia="zh-CN"/>
              </w:rPr>
              <w:t>等设备。</w:t>
            </w:r>
          </w:p>
          <w:p>
            <w:pPr>
              <w:autoSpaceDE w:val="0"/>
              <w:autoSpaceDN w:val="0"/>
              <w:adjustRightInd w:val="0"/>
              <w:spacing w:line="360" w:lineRule="auto"/>
              <w:ind w:firstLine="480" w:firstLineChars="200"/>
              <w:rPr>
                <w:rFonts w:hint="eastAsia"/>
                <w:color w:val="auto"/>
                <w:sz w:val="24"/>
                <w:highlight w:val="none"/>
                <w:lang w:val="en-US" w:eastAsia="zh-CN"/>
              </w:rPr>
            </w:pPr>
            <w:r>
              <w:rPr>
                <w:rFonts w:hint="eastAsia"/>
                <w:color w:val="auto"/>
                <w:sz w:val="24"/>
                <w:highlight w:val="none"/>
                <w:lang w:eastAsia="zh-CN"/>
              </w:rPr>
              <w:t>项目年运行</w:t>
            </w:r>
            <w:r>
              <w:rPr>
                <w:rFonts w:hint="eastAsia"/>
                <w:color w:val="auto"/>
                <w:sz w:val="24"/>
                <w:highlight w:val="none"/>
                <w:lang w:val="en-US" w:eastAsia="zh-CN"/>
              </w:rPr>
              <w:t>312d，每天1班，每班8小时；劳动定员10人。</w:t>
            </w:r>
          </w:p>
          <w:p>
            <w:pPr>
              <w:spacing w:line="500" w:lineRule="exact"/>
              <w:ind w:firstLine="482" w:firstLineChars="200"/>
              <w:jc w:val="center"/>
              <w:rPr>
                <w:rFonts w:hint="default" w:ascii="Times New Roman" w:hAnsi="Times New Roman" w:eastAsia="宋体" w:cs="Times New Roman"/>
                <w:b/>
                <w:bCs/>
                <w:color w:val="auto"/>
                <w:kern w:val="0"/>
                <w:sz w:val="24"/>
                <w:highlight w:val="none"/>
                <w:lang w:eastAsia="zh-CN"/>
              </w:rPr>
            </w:pPr>
            <w:r>
              <w:rPr>
                <w:rFonts w:hint="default" w:ascii="Times New Roman" w:hAnsi="Times New Roman" w:eastAsia="宋体" w:cs="Times New Roman"/>
                <w:b/>
                <w:bCs/>
                <w:color w:val="auto"/>
                <w:kern w:val="0"/>
                <w:sz w:val="24"/>
                <w:highlight w:val="none"/>
                <w:lang w:eastAsia="zh-CN"/>
              </w:rPr>
              <w:t>表</w:t>
            </w:r>
            <w:r>
              <w:rPr>
                <w:rFonts w:hint="default" w:ascii="Times New Roman" w:hAnsi="Times New Roman" w:eastAsia="宋体" w:cs="Times New Roman"/>
                <w:b/>
                <w:bCs/>
                <w:color w:val="auto"/>
                <w:kern w:val="0"/>
                <w:sz w:val="24"/>
                <w:highlight w:val="none"/>
                <w:lang w:val="en-US" w:eastAsia="zh-CN"/>
              </w:rPr>
              <w:t>1</w:t>
            </w:r>
            <w:r>
              <w:rPr>
                <w:rFonts w:hint="default" w:ascii="Times New Roman" w:hAnsi="Times New Roman" w:eastAsia="宋体" w:cs="Times New Roman"/>
                <w:b/>
                <w:bCs/>
                <w:color w:val="auto"/>
                <w:kern w:val="0"/>
                <w:sz w:val="24"/>
                <w:highlight w:val="none"/>
                <w:lang w:eastAsia="zh-CN"/>
              </w:rPr>
              <w:t xml:space="preserve">    现有工程</w:t>
            </w:r>
            <w:r>
              <w:rPr>
                <w:rFonts w:hint="eastAsia" w:cs="Times New Roman"/>
                <w:b/>
                <w:bCs/>
                <w:color w:val="auto"/>
                <w:kern w:val="0"/>
                <w:sz w:val="24"/>
                <w:highlight w:val="none"/>
                <w:lang w:eastAsia="zh-CN"/>
              </w:rPr>
              <w:t>产品方案</w:t>
            </w:r>
            <w:r>
              <w:rPr>
                <w:rFonts w:hint="default" w:ascii="Times New Roman" w:hAnsi="Times New Roman" w:eastAsia="宋体" w:cs="Times New Roman"/>
                <w:b/>
                <w:bCs/>
                <w:color w:val="auto"/>
                <w:kern w:val="0"/>
                <w:sz w:val="24"/>
                <w:highlight w:val="none"/>
                <w:lang w:eastAsia="zh-CN"/>
              </w:rPr>
              <w:t>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69"/>
              <w:gridCol w:w="2421"/>
              <w:gridCol w:w="2650"/>
              <w:gridCol w:w="251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9" w:type="dxa"/>
                  <w:noWrap w:val="0"/>
                  <w:vAlign w:val="center"/>
                </w:tcPr>
                <w:p>
                  <w:pPr>
                    <w:snapToGrid w:val="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序号</w:t>
                  </w:r>
                </w:p>
              </w:tc>
              <w:tc>
                <w:tcPr>
                  <w:tcW w:w="2421" w:type="dxa"/>
                  <w:tcBorders>
                    <w:bottom w:val="single" w:color="auto" w:sz="4" w:space="0"/>
                  </w:tcBorders>
                  <w:noWrap w:val="0"/>
                  <w:vAlign w:val="center"/>
                </w:tcPr>
                <w:p>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eastAsia="zh-CN"/>
                    </w:rPr>
                    <w:t>产品名称</w:t>
                  </w:r>
                  <w:r>
                    <w:rPr>
                      <w:rFonts w:hint="eastAsia" w:cs="Times New Roman"/>
                      <w:color w:val="auto"/>
                      <w:szCs w:val="21"/>
                      <w:highlight w:val="none"/>
                      <w:lang w:val="en-US" w:eastAsia="zh-CN"/>
                    </w:rPr>
                    <w:t>/服务</w:t>
                  </w:r>
                </w:p>
              </w:tc>
              <w:tc>
                <w:tcPr>
                  <w:tcW w:w="2650" w:type="dxa"/>
                  <w:tcBorders>
                    <w:bottom w:val="single" w:color="auto" w:sz="4" w:space="0"/>
                  </w:tcBorders>
                  <w:noWrap w:val="0"/>
                  <w:vAlign w:val="center"/>
                </w:tcPr>
                <w:p>
                  <w:pPr>
                    <w:snapToGrid w:val="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数量（台</w:t>
                  </w:r>
                  <w:r>
                    <w:rPr>
                      <w:rFonts w:hint="eastAsia" w:cs="Times New Roman"/>
                      <w:color w:val="auto"/>
                      <w:szCs w:val="21"/>
                      <w:highlight w:val="none"/>
                      <w:lang w:val="en-US" w:eastAsia="zh-CN"/>
                    </w:rPr>
                    <w:t>/套</w:t>
                  </w:r>
                  <w:r>
                    <w:rPr>
                      <w:rFonts w:hint="eastAsia" w:cs="Times New Roman"/>
                      <w:color w:val="auto"/>
                      <w:szCs w:val="21"/>
                      <w:highlight w:val="none"/>
                      <w:lang w:eastAsia="zh-CN"/>
                    </w:rPr>
                    <w:t>）</w:t>
                  </w:r>
                </w:p>
              </w:tc>
              <w:tc>
                <w:tcPr>
                  <w:tcW w:w="2515" w:type="dxa"/>
                  <w:tcBorders>
                    <w:bottom w:val="single" w:color="auto" w:sz="4" w:space="0"/>
                  </w:tcBorders>
                  <w:noWrap w:val="0"/>
                  <w:vAlign w:val="center"/>
                </w:tcPr>
                <w:p>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569" w:type="dxa"/>
                  <w:noWrap w:val="0"/>
                  <w:vAlign w:val="center"/>
                </w:tcPr>
                <w:p>
                  <w:pPr>
                    <w:snapToGrid w:val="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2421"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叶片</w:t>
                  </w:r>
                </w:p>
              </w:tc>
              <w:tc>
                <w:tcPr>
                  <w:tcW w:w="2650"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80</w:t>
                  </w:r>
                </w:p>
              </w:tc>
              <w:tc>
                <w:tcPr>
                  <w:tcW w:w="2515" w:type="dxa"/>
                  <w:vMerge w:val="restart"/>
                  <w:noWrap w:val="0"/>
                  <w:vAlign w:val="center"/>
                </w:tcPr>
                <w:p>
                  <w:pPr>
                    <w:snapToGrid w:val="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产品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9" w:type="dxa"/>
                  <w:noWrap w:val="0"/>
                  <w:vAlign w:val="center"/>
                </w:tcPr>
                <w:p>
                  <w:pPr>
                    <w:snapToGrid w:val="0"/>
                    <w:jc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w:t>
                  </w:r>
                </w:p>
              </w:tc>
              <w:tc>
                <w:tcPr>
                  <w:tcW w:w="2421"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TRT备件</w:t>
                  </w:r>
                </w:p>
              </w:tc>
              <w:tc>
                <w:tcPr>
                  <w:tcW w:w="2650" w:type="dxa"/>
                  <w:noWrap w:val="0"/>
                  <w:vAlign w:val="center"/>
                </w:tcPr>
                <w:p>
                  <w:pPr>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50</w:t>
                  </w:r>
                </w:p>
              </w:tc>
              <w:tc>
                <w:tcPr>
                  <w:tcW w:w="2515" w:type="dxa"/>
                  <w:vMerge w:val="continue"/>
                  <w:noWrap w:val="0"/>
                  <w:vAlign w:val="center"/>
                </w:tcPr>
                <w:p>
                  <w:pPr>
                    <w:snapToGrid w:val="0"/>
                    <w:jc w:val="center"/>
                    <w:rPr>
                      <w:rFonts w:hint="eastAsia" w:ascii="Times New Roman" w:hAnsi="Times New Roman" w:eastAsia="宋体" w:cs="Times New Roman"/>
                      <w:color w:val="auto"/>
                      <w:szCs w:val="21"/>
                      <w:highlight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9"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w:t>
                  </w:r>
                </w:p>
              </w:tc>
              <w:tc>
                <w:tcPr>
                  <w:tcW w:w="2421"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轴流风机备件</w:t>
                  </w:r>
                </w:p>
              </w:tc>
              <w:tc>
                <w:tcPr>
                  <w:tcW w:w="2650"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30</w:t>
                  </w:r>
                </w:p>
              </w:tc>
              <w:tc>
                <w:tcPr>
                  <w:tcW w:w="2515" w:type="dxa"/>
                  <w:vMerge w:val="continue"/>
                  <w:noWrap w:val="0"/>
                  <w:vAlign w:val="center"/>
                </w:tcPr>
                <w:p>
                  <w:pPr>
                    <w:snapToGrid w:val="0"/>
                    <w:jc w:val="center"/>
                    <w:rPr>
                      <w:rFonts w:hint="default" w:ascii="Times New Roman" w:hAnsi="Times New Roman" w:eastAsia="宋体" w:cs="Times New Roman"/>
                      <w:color w:val="auto"/>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9"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4</w:t>
                  </w:r>
                </w:p>
              </w:tc>
              <w:tc>
                <w:tcPr>
                  <w:tcW w:w="2421" w:type="dxa"/>
                  <w:noWrap w:val="0"/>
                  <w:vAlign w:val="center"/>
                </w:tcPr>
                <w:p>
                  <w:pPr>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汽轮机备件</w:t>
                  </w:r>
                </w:p>
              </w:tc>
              <w:tc>
                <w:tcPr>
                  <w:tcW w:w="2650"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50</w:t>
                  </w:r>
                </w:p>
              </w:tc>
              <w:tc>
                <w:tcPr>
                  <w:tcW w:w="2515" w:type="dxa"/>
                  <w:vMerge w:val="continue"/>
                  <w:noWrap w:val="0"/>
                  <w:vAlign w:val="center"/>
                </w:tcPr>
                <w:p>
                  <w:pPr>
                    <w:snapToGrid w:val="0"/>
                    <w:jc w:val="center"/>
                    <w:rPr>
                      <w:rFonts w:hint="eastAsia" w:cs="Times New Roman"/>
                      <w:color w:val="auto"/>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9"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5</w:t>
                  </w:r>
                </w:p>
              </w:tc>
              <w:tc>
                <w:tcPr>
                  <w:tcW w:w="2421" w:type="dxa"/>
                  <w:noWrap w:val="0"/>
                  <w:vAlign w:val="center"/>
                </w:tcPr>
                <w:p>
                  <w:pPr>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检修风机</w:t>
                  </w:r>
                </w:p>
              </w:tc>
              <w:tc>
                <w:tcPr>
                  <w:tcW w:w="2650"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100</w:t>
                  </w:r>
                </w:p>
              </w:tc>
              <w:tc>
                <w:tcPr>
                  <w:tcW w:w="2515" w:type="dxa"/>
                  <w:noWrap w:val="0"/>
                  <w:vAlign w:val="center"/>
                </w:tcPr>
                <w:p>
                  <w:pPr>
                    <w:snapToGrid w:val="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服务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9" w:type="dxa"/>
                  <w:noWrap w:val="0"/>
                  <w:vAlign w:val="center"/>
                </w:tcPr>
                <w:p>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合计</w:t>
                  </w:r>
                </w:p>
              </w:tc>
              <w:tc>
                <w:tcPr>
                  <w:tcW w:w="2421"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w:t>
                  </w:r>
                </w:p>
              </w:tc>
              <w:tc>
                <w:tcPr>
                  <w:tcW w:w="2650" w:type="dxa"/>
                  <w:noWrap w:val="0"/>
                  <w:vAlign w:val="center"/>
                </w:tcPr>
                <w:p>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310</w:t>
                  </w:r>
                </w:p>
              </w:tc>
              <w:tc>
                <w:tcPr>
                  <w:tcW w:w="2515" w:type="dxa"/>
                  <w:noWrap w:val="0"/>
                  <w:vAlign w:val="center"/>
                </w:tcPr>
                <w:p>
                  <w:pPr>
                    <w:snapToGrid w:val="0"/>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w:t>
                  </w:r>
                </w:p>
              </w:tc>
            </w:tr>
          </w:tbl>
          <w:p>
            <w:pPr>
              <w:spacing w:line="500" w:lineRule="exact"/>
              <w:jc w:val="center"/>
              <w:rPr>
                <w:rFonts w:hint="default" w:ascii="Times New Roman" w:hAnsi="Times New Roman" w:eastAsia="宋体" w:cs="Times New Roman"/>
                <w:b/>
                <w:bCs/>
                <w:color w:val="auto"/>
                <w:kern w:val="0"/>
                <w:sz w:val="24"/>
                <w:highlight w:val="none"/>
                <w:lang w:eastAsia="zh-CN"/>
              </w:rPr>
            </w:pPr>
            <w:r>
              <w:rPr>
                <w:rFonts w:hint="default" w:ascii="Times New Roman" w:hAnsi="Times New Roman" w:eastAsia="宋体" w:cs="Times New Roman"/>
                <w:b/>
                <w:bCs/>
                <w:color w:val="auto"/>
                <w:kern w:val="0"/>
                <w:sz w:val="24"/>
                <w:highlight w:val="none"/>
                <w:lang w:eastAsia="zh-CN"/>
              </w:rPr>
              <w:t>表</w:t>
            </w:r>
            <w:r>
              <w:rPr>
                <w:rFonts w:hint="eastAsia" w:cs="Times New Roman"/>
                <w:b/>
                <w:bCs/>
                <w:color w:val="auto"/>
                <w:kern w:val="0"/>
                <w:sz w:val="24"/>
                <w:highlight w:val="none"/>
                <w:lang w:val="en-US" w:eastAsia="zh-CN"/>
              </w:rPr>
              <w:t>2</w:t>
            </w:r>
            <w:r>
              <w:rPr>
                <w:rFonts w:hint="default" w:ascii="Times New Roman" w:hAnsi="Times New Roman" w:eastAsia="宋体" w:cs="Times New Roman"/>
                <w:b/>
                <w:bCs/>
                <w:color w:val="auto"/>
                <w:kern w:val="0"/>
                <w:sz w:val="24"/>
                <w:highlight w:val="none"/>
                <w:lang w:eastAsia="zh-CN"/>
              </w:rPr>
              <w:t xml:space="preserve">    现有工程主要建构筑物一览表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1895"/>
              <w:gridCol w:w="900"/>
              <w:gridCol w:w="46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工程名称</w:t>
                  </w:r>
                </w:p>
              </w:tc>
              <w:tc>
                <w:tcPr>
                  <w:tcW w:w="1895" w:type="dxa"/>
                  <w:tcBorders>
                    <w:bottom w:val="single" w:color="auto" w:sz="4" w:space="0"/>
                  </w:tcBorders>
                  <w:noWrap w:val="0"/>
                  <w:vAlign w:val="center"/>
                </w:tcPr>
                <w:p>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建筑面积（</w:t>
                  </w: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r>
                    <w:rPr>
                      <w:rFonts w:hint="default" w:ascii="Times New Roman" w:hAnsi="Times New Roman" w:cs="Times New Roman"/>
                      <w:color w:val="auto"/>
                      <w:szCs w:val="21"/>
                      <w:highlight w:val="none"/>
                    </w:rPr>
                    <w:t>）</w:t>
                  </w:r>
                </w:p>
              </w:tc>
              <w:tc>
                <w:tcPr>
                  <w:tcW w:w="900" w:type="dxa"/>
                  <w:tcBorders>
                    <w:bottom w:val="single" w:color="auto" w:sz="4" w:space="0"/>
                  </w:tcBorders>
                  <w:noWrap w:val="0"/>
                  <w:vAlign w:val="center"/>
                </w:tcPr>
                <w:p>
                  <w:pPr>
                    <w:widowControl/>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4621" w:type="dxa"/>
                  <w:tcBorders>
                    <w:bottom w:val="single" w:color="auto" w:sz="4" w:space="0"/>
                  </w:tcBorders>
                  <w:noWrap w:val="0"/>
                  <w:vAlign w:val="center"/>
                </w:tcPr>
                <w:p>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739" w:type="dxa"/>
                  <w:noWrap w:val="0"/>
                  <w:vAlign w:val="center"/>
                </w:tcPr>
                <w:p>
                  <w:pPr>
                    <w:snapToGrid w:val="0"/>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生产</w:t>
                  </w:r>
                  <w:r>
                    <w:rPr>
                      <w:rFonts w:hint="default" w:ascii="Times New Roman" w:hAnsi="Times New Roman" w:cs="Times New Roman"/>
                      <w:color w:val="auto"/>
                      <w:szCs w:val="21"/>
                      <w:highlight w:val="none"/>
                    </w:rPr>
                    <w:t>车间</w:t>
                  </w:r>
                </w:p>
              </w:tc>
              <w:tc>
                <w:tcPr>
                  <w:tcW w:w="1895"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3131.162</w:t>
                  </w:r>
                </w:p>
              </w:tc>
              <w:tc>
                <w:tcPr>
                  <w:tcW w:w="900" w:type="dxa"/>
                  <w:noWrap w:val="0"/>
                  <w:vAlign w:val="center"/>
                </w:tcPr>
                <w:p>
                  <w:pPr>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4621" w:type="dxa"/>
                  <w:noWrap w:val="0"/>
                  <w:vAlign w:val="center"/>
                </w:tcPr>
                <w:p>
                  <w:pPr>
                    <w:snapToGrid w:val="0"/>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钢结构</w:t>
                  </w:r>
                  <w:r>
                    <w:rPr>
                      <w:rFonts w:hint="eastAsia" w:cs="Times New Roman"/>
                      <w:color w:val="auto"/>
                      <w:szCs w:val="21"/>
                      <w:highlight w:val="none"/>
                      <w:lang w:eastAsia="zh-CN"/>
                    </w:rPr>
                    <w:t>（</w:t>
                  </w:r>
                  <w:r>
                    <w:rPr>
                      <w:rFonts w:hint="eastAsia" w:cs="Times New Roman"/>
                      <w:color w:val="auto"/>
                      <w:szCs w:val="21"/>
                      <w:highlight w:val="none"/>
                      <w:lang w:val="en-US" w:eastAsia="zh-CN"/>
                    </w:rPr>
                    <w:t>64.6m×48.47m</w:t>
                  </w:r>
                  <w:r>
                    <w:rPr>
                      <w:rFonts w:hint="eastAsia" w:cs="Times New Roman"/>
                      <w:color w:val="auto"/>
                      <w:szCs w:val="21"/>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eastAsia"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办公室</w:t>
                  </w:r>
                </w:p>
              </w:tc>
              <w:tc>
                <w:tcPr>
                  <w:tcW w:w="1895" w:type="dxa"/>
                  <w:noWrap w:val="0"/>
                  <w:vAlign w:val="center"/>
                </w:tcPr>
                <w:p>
                  <w:pPr>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441.8</w:t>
                  </w:r>
                </w:p>
              </w:tc>
              <w:tc>
                <w:tcPr>
                  <w:tcW w:w="900"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1</w:t>
                  </w:r>
                </w:p>
              </w:tc>
              <w:tc>
                <w:tcPr>
                  <w:tcW w:w="4621" w:type="dxa"/>
                  <w:noWrap w:val="0"/>
                  <w:vAlign w:val="center"/>
                </w:tcPr>
                <w:p>
                  <w:pPr>
                    <w:snapToGrid w:val="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砖混结构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eastAsia"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警卫室</w:t>
                  </w:r>
                </w:p>
              </w:tc>
              <w:tc>
                <w:tcPr>
                  <w:tcW w:w="1895"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56</w:t>
                  </w:r>
                </w:p>
              </w:tc>
              <w:tc>
                <w:tcPr>
                  <w:tcW w:w="900"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w:t>
                  </w:r>
                </w:p>
              </w:tc>
              <w:tc>
                <w:tcPr>
                  <w:tcW w:w="4621" w:type="dxa"/>
                  <w:noWrap w:val="0"/>
                  <w:vAlign w:val="center"/>
                </w:tcPr>
                <w:p>
                  <w:pPr>
                    <w:snapToGrid w:val="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eastAsia"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危废暂存间</w:t>
                  </w:r>
                </w:p>
              </w:tc>
              <w:tc>
                <w:tcPr>
                  <w:tcW w:w="1895" w:type="dxa"/>
                  <w:noWrap w:val="0"/>
                  <w:vAlign w:val="center"/>
                </w:tcPr>
                <w:p>
                  <w:pPr>
                    <w:snapToGrid w:val="0"/>
                    <w:jc w:val="center"/>
                    <w:rPr>
                      <w:rFonts w:hint="default" w:eastAsia="宋体" w:cs="Times New Roman"/>
                      <w:color w:val="auto"/>
                      <w:kern w:val="0"/>
                      <w:szCs w:val="21"/>
                      <w:highlight w:val="none"/>
                      <w:lang w:val="en-US" w:eastAsia="zh-CN"/>
                    </w:rPr>
                  </w:pPr>
                  <w:r>
                    <w:rPr>
                      <w:rFonts w:hint="eastAsia"/>
                      <w:color w:val="auto"/>
                      <w:highlight w:val="none"/>
                      <w:lang w:val="en-US" w:eastAsia="zh-CN"/>
                    </w:rPr>
                    <w:t>6.6</w:t>
                  </w:r>
                </w:p>
              </w:tc>
              <w:tc>
                <w:tcPr>
                  <w:tcW w:w="900"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w:t>
                  </w:r>
                </w:p>
              </w:tc>
              <w:tc>
                <w:tcPr>
                  <w:tcW w:w="4621" w:type="dxa"/>
                  <w:noWrap w:val="0"/>
                  <w:vAlign w:val="center"/>
                </w:tcPr>
                <w:p>
                  <w:pPr>
                    <w:snapToGrid w:val="0"/>
                    <w:jc w:val="center"/>
                    <w:rPr>
                      <w:rFonts w:hint="eastAsia" w:eastAsia="宋体" w:cs="Times New Roman"/>
                      <w:color w:val="auto"/>
                      <w:szCs w:val="21"/>
                      <w:highlight w:val="none"/>
                      <w:lang w:eastAsia="zh-CN"/>
                    </w:rPr>
                  </w:pPr>
                  <w:r>
                    <w:rPr>
                      <w:rFonts w:hint="eastAsia" w:cs="Times New Roman"/>
                      <w:color w:val="auto"/>
                      <w:szCs w:val="21"/>
                      <w:highlight w:val="none"/>
                      <w:lang w:eastAsia="zh-CN"/>
                    </w:rPr>
                    <w:t>位于厂区西南侧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eastAsia" w:ascii="Times New Roman" w:hAnsi="Times New Roman" w:eastAsia="宋体" w:cs="Times New Roman"/>
                      <w:color w:val="auto"/>
                      <w:kern w:val="0"/>
                      <w:szCs w:val="21"/>
                      <w:highlight w:val="none"/>
                      <w:lang w:eastAsia="zh-CN"/>
                    </w:rPr>
                  </w:pPr>
                  <w:r>
                    <w:rPr>
                      <w:rFonts w:hint="eastAsia" w:cs="Times New Roman"/>
                      <w:color w:val="auto"/>
                      <w:kern w:val="0"/>
                      <w:szCs w:val="21"/>
                      <w:highlight w:val="none"/>
                      <w:lang w:eastAsia="zh-CN"/>
                    </w:rPr>
                    <w:t>道路及硬化</w:t>
                  </w:r>
                </w:p>
              </w:tc>
              <w:tc>
                <w:tcPr>
                  <w:tcW w:w="1895"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9525.738</w:t>
                  </w:r>
                </w:p>
              </w:tc>
              <w:tc>
                <w:tcPr>
                  <w:tcW w:w="900" w:type="dxa"/>
                  <w:noWrap w:val="0"/>
                  <w:vAlign w:val="center"/>
                </w:tcPr>
                <w:p>
                  <w:pPr>
                    <w:snapToGrid w:val="0"/>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w:t>
                  </w:r>
                </w:p>
              </w:tc>
              <w:tc>
                <w:tcPr>
                  <w:tcW w:w="4621" w:type="dxa"/>
                  <w:noWrap w:val="0"/>
                  <w:vAlign w:val="center"/>
                </w:tcPr>
                <w:p>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合计</w:t>
                  </w:r>
                </w:p>
              </w:tc>
              <w:tc>
                <w:tcPr>
                  <w:tcW w:w="1895" w:type="dxa"/>
                  <w:noWrap w:val="0"/>
                  <w:vAlign w:val="center"/>
                </w:tcPr>
                <w:p>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kern w:val="0"/>
                      <w:szCs w:val="21"/>
                      <w:highlight w:val="none"/>
                      <w:lang w:val="en-US" w:eastAsia="zh-CN"/>
                    </w:rPr>
                    <w:t>13161.3</w:t>
                  </w:r>
                </w:p>
              </w:tc>
              <w:tc>
                <w:tcPr>
                  <w:tcW w:w="900" w:type="dxa"/>
                  <w:noWrap w:val="0"/>
                  <w:vAlign w:val="center"/>
                </w:tcPr>
                <w:p>
                  <w:pPr>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4621" w:type="dxa"/>
                  <w:noWrap w:val="0"/>
                  <w:vAlign w:val="center"/>
                </w:tcPr>
                <w:p>
                  <w:pPr>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r>
          </w:tbl>
          <w:p>
            <w:pPr>
              <w:spacing w:line="500" w:lineRule="exact"/>
              <w:jc w:val="center"/>
              <w:rPr>
                <w:rFonts w:hint="default" w:ascii="Times New Roman" w:hAnsi="Times New Roman" w:eastAsia="黑体" w:cs="Times New Roman"/>
                <w:color w:val="auto"/>
                <w:sz w:val="24"/>
                <w:highlight w:val="none"/>
                <w:lang w:eastAsia="zh-CN"/>
              </w:rPr>
            </w:pPr>
            <w:r>
              <w:rPr>
                <w:rFonts w:hint="default" w:ascii="Times New Roman" w:hAnsi="Times New Roman" w:eastAsia="黑体" w:cs="Times New Roman"/>
                <w:color w:val="auto"/>
                <w:sz w:val="24"/>
                <w:highlight w:val="none"/>
              </w:rPr>
              <w:t>表</w:t>
            </w:r>
            <w:r>
              <w:rPr>
                <w:rFonts w:hint="eastAsia" w:eastAsia="黑体" w:cs="Times New Roman"/>
                <w:color w:val="auto"/>
                <w:sz w:val="24"/>
                <w:highlight w:val="none"/>
                <w:lang w:val="en-US" w:eastAsia="zh-CN"/>
              </w:rPr>
              <w:t>3</w:t>
            </w:r>
            <w:r>
              <w:rPr>
                <w:rFonts w:hint="default" w:ascii="Times New Roman" w:hAnsi="Times New Roman" w:eastAsia="黑体" w:cs="Times New Roman"/>
                <w:color w:val="auto"/>
                <w:sz w:val="24"/>
                <w:highlight w:val="none"/>
              </w:rPr>
              <w:t xml:space="preserve">  </w:t>
            </w:r>
            <w:r>
              <w:rPr>
                <w:rFonts w:hint="default" w:ascii="Times New Roman" w:hAnsi="Times New Roman" w:eastAsia="黑体" w:cs="Times New Roman"/>
                <w:color w:val="auto"/>
                <w:sz w:val="24"/>
                <w:highlight w:val="none"/>
                <w:lang w:eastAsia="zh-CN"/>
              </w:rPr>
              <w:t>现有工程原辅材料消耗一览表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92"/>
              <w:gridCol w:w="1412"/>
              <w:gridCol w:w="1394"/>
              <w:gridCol w:w="1292"/>
              <w:gridCol w:w="426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736" w:type="dxa"/>
                  <w:noWrap w:val="0"/>
                  <w:vAlign w:val="center"/>
                </w:tcPr>
                <w:p>
                  <w:pPr>
                    <w:widowControl/>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序号</w:t>
                  </w:r>
                </w:p>
              </w:tc>
              <w:tc>
                <w:tcPr>
                  <w:tcW w:w="1312" w:type="dxa"/>
                  <w:noWrap w:val="0"/>
                  <w:vAlign w:val="center"/>
                </w:tcPr>
                <w:p>
                  <w:pPr>
                    <w:widowControl/>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名称</w:t>
                  </w:r>
                </w:p>
              </w:tc>
              <w:tc>
                <w:tcPr>
                  <w:tcW w:w="1295" w:type="dxa"/>
                  <w:noWrap w:val="0"/>
                  <w:vAlign w:val="center"/>
                </w:tcPr>
                <w:p>
                  <w:pPr>
                    <w:widowControl/>
                    <w:snapToGrid w:val="0"/>
                    <w:jc w:val="center"/>
                    <w:rPr>
                      <w:rFonts w:hint="default" w:ascii="Times New Roman" w:hAnsi="Times New Roman" w:cs="Times New Roman"/>
                      <w:color w:val="auto"/>
                      <w:kern w:val="0"/>
                      <w:szCs w:val="21"/>
                      <w:highlight w:val="none"/>
                    </w:rPr>
                  </w:pPr>
                  <w:r>
                    <w:rPr>
                      <w:rFonts w:hint="eastAsia" w:cs="Times New Roman"/>
                      <w:color w:val="auto"/>
                      <w:kern w:val="0"/>
                      <w:szCs w:val="21"/>
                      <w:highlight w:val="none"/>
                      <w:lang w:eastAsia="zh-CN"/>
                    </w:rPr>
                    <w:t>技改</w:t>
                  </w:r>
                  <w:r>
                    <w:rPr>
                      <w:rFonts w:hint="default" w:ascii="Times New Roman" w:hAnsi="Times New Roman" w:cs="Times New Roman"/>
                      <w:color w:val="auto"/>
                      <w:kern w:val="0"/>
                      <w:szCs w:val="21"/>
                      <w:highlight w:val="none"/>
                      <w:lang w:eastAsia="zh-CN"/>
                    </w:rPr>
                    <w:t>前</w:t>
                  </w:r>
                  <w:r>
                    <w:rPr>
                      <w:rFonts w:hint="default" w:ascii="Times New Roman" w:hAnsi="Times New Roman" w:cs="Times New Roman"/>
                      <w:color w:val="auto"/>
                      <w:kern w:val="0"/>
                      <w:szCs w:val="21"/>
                      <w:highlight w:val="none"/>
                    </w:rPr>
                    <w:t>数量</w:t>
                  </w:r>
                </w:p>
              </w:tc>
              <w:tc>
                <w:tcPr>
                  <w:tcW w:w="1200" w:type="dxa"/>
                  <w:noWrap w:val="0"/>
                  <w:vAlign w:val="center"/>
                </w:tcPr>
                <w:p>
                  <w:pPr>
                    <w:widowControl/>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单位</w:t>
                  </w:r>
                </w:p>
              </w:tc>
              <w:tc>
                <w:tcPr>
                  <w:tcW w:w="3961" w:type="dxa"/>
                  <w:noWrap w:val="0"/>
                  <w:vAlign w:val="center"/>
                </w:tcPr>
                <w:p>
                  <w:pPr>
                    <w:widowControl/>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736" w:type="dxa"/>
                  <w:noWrap w:val="0"/>
                  <w:vAlign w:val="center"/>
                </w:tcPr>
                <w:p>
                  <w:pPr>
                    <w:widowControl/>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1312" w:type="dxa"/>
                  <w:noWrap w:val="0"/>
                  <w:vAlign w:val="center"/>
                </w:tcPr>
                <w:p>
                  <w:pPr>
                    <w:widowControl/>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特种钢</w:t>
                  </w:r>
                </w:p>
              </w:tc>
              <w:tc>
                <w:tcPr>
                  <w:tcW w:w="1295" w:type="dxa"/>
                  <w:noWrap w:val="0"/>
                  <w:vAlign w:val="center"/>
                </w:tcPr>
                <w:p>
                  <w:pPr>
                    <w:widowControl/>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600</w:t>
                  </w:r>
                </w:p>
              </w:tc>
              <w:tc>
                <w:tcPr>
                  <w:tcW w:w="1200" w:type="dxa"/>
                  <w:noWrap w:val="0"/>
                  <w:vAlign w:val="center"/>
                </w:tcPr>
                <w:p>
                  <w:pPr>
                    <w:widowControl/>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t/a</w:t>
                  </w:r>
                </w:p>
              </w:tc>
              <w:tc>
                <w:tcPr>
                  <w:tcW w:w="3961" w:type="dxa"/>
                  <w:noWrap w:val="0"/>
                  <w:vAlign w:val="center"/>
                </w:tcPr>
                <w:p>
                  <w:pPr>
                    <w:widowControl/>
                    <w:snapToGrid w:val="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周边购入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736" w:type="dxa"/>
                  <w:noWrap w:val="0"/>
                  <w:vAlign w:val="center"/>
                </w:tcPr>
                <w:p>
                  <w:pPr>
                    <w:widowControl/>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2</w:t>
                  </w:r>
                </w:p>
              </w:tc>
              <w:tc>
                <w:tcPr>
                  <w:tcW w:w="1312" w:type="dxa"/>
                  <w:noWrap w:val="0"/>
                  <w:vAlign w:val="center"/>
                </w:tcPr>
                <w:p>
                  <w:pPr>
                    <w:widowControl/>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普通钢板</w:t>
                  </w:r>
                </w:p>
              </w:tc>
              <w:tc>
                <w:tcPr>
                  <w:tcW w:w="1295" w:type="dxa"/>
                  <w:noWrap w:val="0"/>
                  <w:vAlign w:val="center"/>
                </w:tcPr>
                <w:p>
                  <w:pPr>
                    <w:widowControl/>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300</w:t>
                  </w:r>
                </w:p>
              </w:tc>
              <w:tc>
                <w:tcPr>
                  <w:tcW w:w="1200" w:type="dxa"/>
                  <w:noWrap w:val="0"/>
                  <w:vAlign w:val="center"/>
                </w:tcPr>
                <w:p>
                  <w:pPr>
                    <w:widowControl/>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t/a</w:t>
                  </w:r>
                </w:p>
              </w:tc>
              <w:tc>
                <w:tcPr>
                  <w:tcW w:w="3961" w:type="dxa"/>
                  <w:noWrap w:val="0"/>
                  <w:vAlign w:val="center"/>
                </w:tcPr>
                <w:p>
                  <w:pPr>
                    <w:widowControl/>
                    <w:snapToGrid w:val="0"/>
                    <w:jc w:val="center"/>
                    <w:rPr>
                      <w:rFonts w:hint="default" w:ascii="Times New Roman" w:hAnsi="Times New Roman" w:cs="Times New Roman"/>
                      <w:color w:val="auto"/>
                      <w:kern w:val="0"/>
                      <w:szCs w:val="21"/>
                      <w:highlight w:val="none"/>
                    </w:rPr>
                  </w:pPr>
                  <w:r>
                    <w:rPr>
                      <w:rFonts w:hint="eastAsia" w:eastAsia="宋体" w:cs="Times New Roman"/>
                      <w:color w:val="auto"/>
                      <w:kern w:val="0"/>
                      <w:szCs w:val="21"/>
                      <w:highlight w:val="none"/>
                      <w:lang w:val="en-US" w:eastAsia="zh-CN"/>
                    </w:rPr>
                    <w:t>周边购入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736" w:type="dxa"/>
                  <w:noWrap w:val="0"/>
                  <w:vAlign w:val="center"/>
                </w:tcPr>
                <w:p>
                  <w:pPr>
                    <w:widowControl/>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3</w:t>
                  </w:r>
                </w:p>
              </w:tc>
              <w:tc>
                <w:tcPr>
                  <w:tcW w:w="1312" w:type="dxa"/>
                  <w:noWrap w:val="0"/>
                  <w:vAlign w:val="center"/>
                </w:tcPr>
                <w:p>
                  <w:pPr>
                    <w:widowControl/>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圆钢</w:t>
                  </w:r>
                </w:p>
              </w:tc>
              <w:tc>
                <w:tcPr>
                  <w:tcW w:w="1295" w:type="dxa"/>
                  <w:noWrap w:val="0"/>
                  <w:vAlign w:val="center"/>
                </w:tcPr>
                <w:p>
                  <w:pPr>
                    <w:widowControl/>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500</w:t>
                  </w:r>
                </w:p>
              </w:tc>
              <w:tc>
                <w:tcPr>
                  <w:tcW w:w="1200" w:type="dxa"/>
                  <w:noWrap w:val="0"/>
                  <w:vAlign w:val="center"/>
                </w:tcPr>
                <w:p>
                  <w:pPr>
                    <w:widowControl/>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rPr>
                    <w:t>t/a</w:t>
                  </w:r>
                </w:p>
              </w:tc>
              <w:tc>
                <w:tcPr>
                  <w:tcW w:w="3961" w:type="dxa"/>
                  <w:noWrap w:val="0"/>
                  <w:vAlign w:val="center"/>
                </w:tcPr>
                <w:p>
                  <w:pPr>
                    <w:widowControl/>
                    <w:snapToGrid w:val="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周边购入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736"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4</w:t>
                  </w:r>
                </w:p>
              </w:tc>
              <w:tc>
                <w:tcPr>
                  <w:tcW w:w="1312"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电</w:t>
                  </w:r>
                </w:p>
              </w:tc>
              <w:tc>
                <w:tcPr>
                  <w:tcW w:w="129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39.14</w:t>
                  </w:r>
                </w:p>
              </w:tc>
              <w:tc>
                <w:tcPr>
                  <w:tcW w:w="1200"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万</w:t>
                  </w:r>
                  <w:r>
                    <w:rPr>
                      <w:rFonts w:hint="default" w:ascii="Times New Roman" w:hAnsi="Times New Roman" w:cs="Times New Roman"/>
                      <w:color w:val="auto"/>
                      <w:kern w:val="0"/>
                      <w:szCs w:val="21"/>
                      <w:highlight w:val="none"/>
                      <w:lang w:val="en-US" w:eastAsia="zh-CN"/>
                    </w:rPr>
                    <w:t>kWh</w:t>
                  </w:r>
                  <w:r>
                    <w:rPr>
                      <w:rFonts w:hint="default" w:ascii="Times New Roman" w:hAnsi="Times New Roman" w:cs="Times New Roman"/>
                      <w:color w:val="auto"/>
                      <w:kern w:val="0"/>
                      <w:szCs w:val="21"/>
                      <w:highlight w:val="none"/>
                    </w:rPr>
                    <w:t>/a</w:t>
                  </w:r>
                </w:p>
              </w:tc>
              <w:tc>
                <w:tcPr>
                  <w:tcW w:w="3961"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河北迁安经济开发区供电管网统一提供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736"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5</w:t>
                  </w:r>
                </w:p>
              </w:tc>
              <w:tc>
                <w:tcPr>
                  <w:tcW w:w="1312"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新水</w:t>
                  </w:r>
                </w:p>
              </w:tc>
              <w:tc>
                <w:tcPr>
                  <w:tcW w:w="129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134.7</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t/a</w:t>
                  </w:r>
                </w:p>
              </w:tc>
              <w:tc>
                <w:tcPr>
                  <w:tcW w:w="3961"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河北迁安经济开发区供水管网统一提供</w:t>
                  </w:r>
                </w:p>
              </w:tc>
            </w:tr>
          </w:tbl>
          <w:p>
            <w:pPr>
              <w:spacing w:line="500" w:lineRule="exact"/>
              <w:jc w:val="center"/>
              <w:rPr>
                <w:rFonts w:hint="default" w:ascii="Times New Roman" w:hAnsi="Times New Roman" w:eastAsia="黑体" w:cs="Times New Roman"/>
                <w:color w:val="auto"/>
                <w:sz w:val="24"/>
                <w:highlight w:val="none"/>
              </w:rPr>
            </w:pPr>
          </w:p>
          <w:p>
            <w:pPr>
              <w:spacing w:line="500" w:lineRule="exact"/>
              <w:jc w:val="center"/>
              <w:rPr>
                <w:rFonts w:hint="default" w:ascii="Times New Roman" w:hAnsi="Times New Roman" w:eastAsia="黑体" w:cs="Times New Roman"/>
                <w:color w:val="auto"/>
                <w:sz w:val="24"/>
                <w:highlight w:val="none"/>
              </w:rPr>
            </w:pPr>
          </w:p>
          <w:p>
            <w:pPr>
              <w:spacing w:line="500" w:lineRule="exact"/>
              <w:jc w:val="center"/>
              <w:rPr>
                <w:rFonts w:hint="default" w:ascii="Times New Roman" w:hAnsi="Times New Roman" w:eastAsia="黑体" w:cs="Times New Roman"/>
                <w:color w:val="auto"/>
                <w:sz w:val="24"/>
                <w:highlight w:val="none"/>
              </w:rPr>
            </w:pPr>
          </w:p>
          <w:p>
            <w:pPr>
              <w:spacing w:line="500" w:lineRule="exact"/>
              <w:jc w:val="center"/>
              <w:rPr>
                <w:rFonts w:hint="default" w:ascii="Times New Roman" w:hAnsi="Times New Roman" w:eastAsia="黑体" w:cs="Times New Roman"/>
                <w:color w:val="auto"/>
                <w:sz w:val="24"/>
                <w:highlight w:val="none"/>
              </w:rPr>
            </w:pPr>
          </w:p>
          <w:p>
            <w:pPr>
              <w:spacing w:line="500" w:lineRule="exact"/>
              <w:jc w:val="center"/>
              <w:rPr>
                <w:rFonts w:hint="default" w:ascii="Times New Roman" w:hAnsi="Times New Roman" w:eastAsia="黑体" w:cs="Times New Roman"/>
                <w:color w:val="auto"/>
                <w:sz w:val="24"/>
                <w:highlight w:val="none"/>
              </w:rPr>
            </w:pPr>
          </w:p>
          <w:p>
            <w:pPr>
              <w:spacing w:line="500" w:lineRule="exact"/>
              <w:jc w:val="both"/>
              <w:rPr>
                <w:rFonts w:hint="default" w:ascii="Times New Roman" w:hAnsi="Times New Roman" w:eastAsia="黑体" w:cs="Times New Roman"/>
                <w:color w:val="auto"/>
                <w:sz w:val="24"/>
                <w:highlight w:val="none"/>
              </w:rPr>
            </w:pPr>
          </w:p>
          <w:p>
            <w:pPr>
              <w:spacing w:line="500" w:lineRule="exac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表</w:t>
            </w:r>
            <w:r>
              <w:rPr>
                <w:rFonts w:hint="eastAsia" w:eastAsia="黑体" w:cs="Times New Roman"/>
                <w:color w:val="auto"/>
                <w:sz w:val="24"/>
                <w:highlight w:val="none"/>
                <w:lang w:val="en-US" w:eastAsia="zh-CN"/>
              </w:rPr>
              <w:t>4</w:t>
            </w:r>
            <w:r>
              <w:rPr>
                <w:rFonts w:hint="default" w:ascii="Times New Roman" w:hAnsi="Times New Roman" w:eastAsia="黑体" w:cs="Times New Roman"/>
                <w:color w:val="auto"/>
                <w:sz w:val="24"/>
                <w:highlight w:val="none"/>
              </w:rPr>
              <w:t xml:space="preserve">   </w:t>
            </w:r>
            <w:r>
              <w:rPr>
                <w:rFonts w:hint="default" w:ascii="Times New Roman" w:hAnsi="Times New Roman" w:eastAsia="黑体" w:cs="Times New Roman"/>
                <w:color w:val="auto"/>
                <w:sz w:val="24"/>
                <w:highlight w:val="none"/>
                <w:lang w:eastAsia="zh-CN"/>
              </w:rPr>
              <w:t>现有工程</w:t>
            </w:r>
            <w:r>
              <w:rPr>
                <w:rFonts w:hint="default" w:ascii="Times New Roman" w:hAnsi="Times New Roman" w:eastAsia="黑体" w:cs="Times New Roman"/>
                <w:color w:val="auto"/>
                <w:sz w:val="24"/>
                <w:highlight w:val="none"/>
              </w:rPr>
              <w:t>主要生产设备表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59"/>
              <w:gridCol w:w="2934"/>
              <w:gridCol w:w="1670"/>
              <w:gridCol w:w="349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spacing w:line="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2173" w:type="dxa"/>
                  <w:noWrap w:val="0"/>
                  <w:vAlign w:val="center"/>
                </w:tcPr>
                <w:p>
                  <w:pPr>
                    <w:spacing w:line="0" w:lineRule="atLeast"/>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rPr>
                    <w:t>设备名称</w:t>
                  </w:r>
                </w:p>
              </w:tc>
              <w:tc>
                <w:tcPr>
                  <w:tcW w:w="1237" w:type="dxa"/>
                  <w:noWrap w:val="0"/>
                  <w:vAlign w:val="center"/>
                </w:tcPr>
                <w:p>
                  <w:pPr>
                    <w:spacing w:line="0" w:lineRule="atLeast"/>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rPr>
                    <w:t>设备</w:t>
                  </w:r>
                  <w:r>
                    <w:rPr>
                      <w:rFonts w:hint="default" w:ascii="Times New Roman" w:hAnsi="Times New Roman" w:cs="Times New Roman"/>
                      <w:color w:val="auto"/>
                      <w:szCs w:val="21"/>
                      <w:highlight w:val="none"/>
                      <w:lang w:eastAsia="zh-CN"/>
                    </w:rPr>
                    <w:t>台套数</w:t>
                  </w:r>
                </w:p>
              </w:tc>
              <w:tc>
                <w:tcPr>
                  <w:tcW w:w="2586" w:type="dxa"/>
                  <w:noWrap w:val="0"/>
                  <w:vAlign w:val="center"/>
                </w:tcPr>
                <w:p>
                  <w:pPr>
                    <w:spacing w:line="0" w:lineRule="atLeast"/>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型号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1</w:t>
                  </w:r>
                </w:p>
              </w:tc>
              <w:tc>
                <w:tcPr>
                  <w:tcW w:w="2173"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加工中心</w:t>
                  </w:r>
                </w:p>
              </w:tc>
              <w:tc>
                <w:tcPr>
                  <w:tcW w:w="1237"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7140a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784"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2</w:t>
                  </w:r>
                </w:p>
              </w:tc>
              <w:tc>
                <w:tcPr>
                  <w:tcW w:w="2173"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焊机</w:t>
                  </w:r>
                </w:p>
              </w:tc>
              <w:tc>
                <w:tcPr>
                  <w:tcW w:w="1237"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w:t>
                  </w:r>
                </w:p>
              </w:tc>
              <w:tc>
                <w:tcPr>
                  <w:tcW w:w="2586"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400C</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3</w:t>
                  </w:r>
                </w:p>
              </w:tc>
              <w:tc>
                <w:tcPr>
                  <w:tcW w:w="2173"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车床</w:t>
                  </w:r>
                </w:p>
              </w:tc>
              <w:tc>
                <w:tcPr>
                  <w:tcW w:w="1237"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spacing w:line="300" w:lineRule="exact"/>
                    <w:jc w:val="center"/>
                    <w:rPr>
                      <w:rFonts w:hint="default" w:ascii="Times New Roman" w:hAnsi="Times New Roman" w:cs="Times New Roman" w:eastAsiaTheme="minorEastAsia"/>
                      <w:color w:val="auto"/>
                      <w:szCs w:val="21"/>
                      <w:highlight w:val="none"/>
                      <w:lang w:val="en-US" w:eastAsia="zh-CN"/>
                    </w:rPr>
                  </w:pPr>
                  <w:r>
                    <w:rPr>
                      <w:rFonts w:hint="eastAsia" w:cs="Times New Roman" w:eastAsiaTheme="minorEastAsia"/>
                      <w:color w:val="auto"/>
                      <w:szCs w:val="21"/>
                      <w:highlight w:val="none"/>
                      <w:lang w:val="en-US" w:eastAsia="zh-CN"/>
                    </w:rPr>
                    <w:t>8160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4</w:t>
                  </w:r>
                </w:p>
              </w:tc>
              <w:tc>
                <w:tcPr>
                  <w:tcW w:w="2173"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车床</w:t>
                  </w:r>
                </w:p>
              </w:tc>
              <w:tc>
                <w:tcPr>
                  <w:tcW w:w="1237"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C61160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84"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5</w:t>
                  </w:r>
                </w:p>
              </w:tc>
              <w:tc>
                <w:tcPr>
                  <w:tcW w:w="2173"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立式车床</w:t>
                  </w:r>
                </w:p>
              </w:tc>
              <w:tc>
                <w:tcPr>
                  <w:tcW w:w="1237"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CK5123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84"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6</w:t>
                  </w:r>
                </w:p>
              </w:tc>
              <w:tc>
                <w:tcPr>
                  <w:tcW w:w="2173"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卧式车床</w:t>
                  </w:r>
                </w:p>
              </w:tc>
              <w:tc>
                <w:tcPr>
                  <w:tcW w:w="1237"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CA6140A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84"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7</w:t>
                  </w:r>
                </w:p>
              </w:tc>
              <w:tc>
                <w:tcPr>
                  <w:tcW w:w="2173"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激光焊</w:t>
                  </w:r>
                </w:p>
              </w:tc>
              <w:tc>
                <w:tcPr>
                  <w:tcW w:w="1237"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1000W</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784" w:type="dxa"/>
                  <w:noWrap w:val="0"/>
                  <w:vAlign w:val="center"/>
                </w:tcPr>
                <w:p>
                  <w:pPr>
                    <w:widowControl/>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8</w:t>
                  </w:r>
                </w:p>
              </w:tc>
              <w:tc>
                <w:tcPr>
                  <w:tcW w:w="2173"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动平衡</w:t>
                  </w:r>
                </w:p>
              </w:tc>
              <w:tc>
                <w:tcPr>
                  <w:tcW w:w="1237"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10t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84" w:type="dxa"/>
                  <w:noWrap w:val="0"/>
                  <w:vAlign w:val="center"/>
                </w:tcPr>
                <w:p>
                  <w:pPr>
                    <w:widowControl/>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9</w:t>
                  </w:r>
                </w:p>
              </w:tc>
              <w:tc>
                <w:tcPr>
                  <w:tcW w:w="2173"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动平衡</w:t>
                  </w:r>
                </w:p>
              </w:tc>
              <w:tc>
                <w:tcPr>
                  <w:tcW w:w="1237"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30t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84" w:type="dxa"/>
                  <w:noWrap w:val="0"/>
                  <w:vAlign w:val="center"/>
                </w:tcPr>
                <w:p>
                  <w:pPr>
                    <w:widowControl/>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10</w:t>
                  </w:r>
                </w:p>
              </w:tc>
              <w:tc>
                <w:tcPr>
                  <w:tcW w:w="2173"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动平衡</w:t>
                  </w:r>
                </w:p>
              </w:tc>
              <w:tc>
                <w:tcPr>
                  <w:tcW w:w="1237"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3t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widowControl/>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11</w:t>
                  </w:r>
                </w:p>
              </w:tc>
              <w:tc>
                <w:tcPr>
                  <w:tcW w:w="2173"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高速动平衡</w:t>
                  </w:r>
                </w:p>
              </w:tc>
              <w:tc>
                <w:tcPr>
                  <w:tcW w:w="1237"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30t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widowControl/>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12</w:t>
                  </w:r>
                </w:p>
              </w:tc>
              <w:tc>
                <w:tcPr>
                  <w:tcW w:w="2173"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检测设备</w:t>
                  </w:r>
                </w:p>
              </w:tc>
              <w:tc>
                <w:tcPr>
                  <w:tcW w:w="1237"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widowControl/>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13</w:t>
                  </w:r>
                </w:p>
              </w:tc>
              <w:tc>
                <w:tcPr>
                  <w:tcW w:w="2173"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车轫工具</w:t>
                  </w:r>
                </w:p>
              </w:tc>
              <w:tc>
                <w:tcPr>
                  <w:tcW w:w="1237"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widowControl/>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14</w:t>
                  </w:r>
                </w:p>
              </w:tc>
              <w:tc>
                <w:tcPr>
                  <w:tcW w:w="2173"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线切割</w:t>
                  </w:r>
                </w:p>
              </w:tc>
              <w:tc>
                <w:tcPr>
                  <w:tcW w:w="1237"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widowControl/>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15</w:t>
                  </w:r>
                </w:p>
              </w:tc>
              <w:tc>
                <w:tcPr>
                  <w:tcW w:w="2173"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钻床</w:t>
                  </w:r>
                </w:p>
              </w:tc>
              <w:tc>
                <w:tcPr>
                  <w:tcW w:w="1237"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w:t>
                  </w:r>
                </w:p>
              </w:tc>
              <w:tc>
                <w:tcPr>
                  <w:tcW w:w="2586"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4" w:type="dxa"/>
                  <w:noWrap w:val="0"/>
                  <w:vAlign w:val="center"/>
                </w:tcPr>
                <w:p>
                  <w:pPr>
                    <w:widowControl/>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16</w:t>
                  </w:r>
                </w:p>
              </w:tc>
              <w:tc>
                <w:tcPr>
                  <w:tcW w:w="2173"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压力机</w:t>
                  </w:r>
                </w:p>
              </w:tc>
              <w:tc>
                <w:tcPr>
                  <w:tcW w:w="1237"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86"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YR32-100</w:t>
                  </w:r>
                </w:p>
              </w:tc>
            </w:tr>
          </w:tbl>
          <w:p>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color w:val="auto"/>
                <w:sz w:val="24"/>
                <w:highlight w:val="none"/>
                <w:lang w:val="en-US" w:eastAsia="zh-CN"/>
              </w:rPr>
              <w:t>2、工艺流程及产污节点</w:t>
            </w:r>
          </w:p>
          <w:p>
            <w:pPr>
              <w:pStyle w:val="27"/>
              <w:keepNext w:val="0"/>
              <w:keepLines w:val="0"/>
              <w:pageBreakBefore w:val="0"/>
              <w:widowControl/>
              <w:numPr>
                <w:ilvl w:val="0"/>
                <w:numId w:val="0"/>
              </w:numPr>
              <w:suppressLineNumbers w:val="0"/>
              <w:kinsoku/>
              <w:wordWrap/>
              <w:overflowPunct/>
              <w:topLinePunct w:val="0"/>
              <w:bidi w:val="0"/>
              <w:snapToGrid/>
              <w:spacing w:before="0" w:beforeAutospacing="0" w:after="0" w:afterAutospacing="0" w:line="360" w:lineRule="auto"/>
              <w:ind w:leftChars="200" w:right="0" w:right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一、</w:t>
            </w:r>
            <w:r>
              <w:rPr>
                <w:rFonts w:ascii="Times New Roman" w:hAnsi="Times New Roman"/>
                <w:color w:val="auto"/>
                <w:highlight w:val="none"/>
              </w:rPr>
              <w:t>风机叶片和</w:t>
            </w:r>
            <w:r>
              <w:rPr>
                <w:rFonts w:hint="eastAsia" w:ascii="Times New Roman" w:hAnsi="Times New Roman"/>
                <w:color w:val="auto"/>
                <w:highlight w:val="none"/>
                <w:lang w:eastAsia="zh-CN"/>
              </w:rPr>
              <w:t>备件的加工</w:t>
            </w:r>
          </w:p>
          <w:p>
            <w:pPr>
              <w:tabs>
                <w:tab w:val="left" w:pos="3945"/>
              </w:tabs>
              <w:spacing w:line="440" w:lineRule="exact"/>
              <w:ind w:firstLine="480" w:firstLineChars="200"/>
              <w:rPr>
                <w:rFonts w:hint="eastAsia"/>
                <w:color w:val="auto"/>
                <w:sz w:val="24"/>
                <w:highlight w:val="none"/>
              </w:rPr>
            </w:pPr>
            <w:r>
              <w:rPr>
                <w:rFonts w:hint="eastAsia" w:hAnsi="宋体"/>
                <w:color w:val="auto"/>
                <w:sz w:val="24"/>
                <w:highlight w:val="none"/>
              </w:rPr>
              <w:t>原料主要为特种钢</w:t>
            </w:r>
            <w:r>
              <w:rPr>
                <w:rFonts w:hint="eastAsia" w:hAnsi="宋体"/>
                <w:color w:val="auto"/>
                <w:sz w:val="24"/>
                <w:highlight w:val="none"/>
                <w:lang w:eastAsia="zh-CN"/>
              </w:rPr>
              <w:t>、</w:t>
            </w:r>
            <w:r>
              <w:rPr>
                <w:rFonts w:hint="eastAsia" w:hAnsi="宋体"/>
                <w:color w:val="auto"/>
                <w:sz w:val="24"/>
                <w:highlight w:val="none"/>
              </w:rPr>
              <w:t>普通钢板</w:t>
            </w:r>
            <w:r>
              <w:rPr>
                <w:rFonts w:hint="eastAsia" w:hAnsi="宋体"/>
                <w:color w:val="auto"/>
                <w:sz w:val="24"/>
                <w:highlight w:val="none"/>
                <w:lang w:eastAsia="zh-CN"/>
              </w:rPr>
              <w:t>、</w:t>
            </w:r>
            <w:r>
              <w:rPr>
                <w:rFonts w:hint="eastAsia" w:hAnsi="宋体"/>
                <w:color w:val="auto"/>
                <w:sz w:val="24"/>
                <w:highlight w:val="none"/>
              </w:rPr>
              <w:t>圆钢，由货车运至</w:t>
            </w:r>
            <w:r>
              <w:rPr>
                <w:rFonts w:hint="eastAsia" w:hAnsi="宋体"/>
                <w:color w:val="auto"/>
                <w:sz w:val="24"/>
                <w:highlight w:val="none"/>
                <w:lang w:eastAsia="zh-CN"/>
              </w:rPr>
              <w:t>生产车间</w:t>
            </w:r>
            <w:r>
              <w:rPr>
                <w:rFonts w:hint="eastAsia" w:hAnsi="宋体"/>
                <w:color w:val="auto"/>
                <w:sz w:val="24"/>
                <w:highlight w:val="none"/>
              </w:rPr>
              <w:t>原料</w:t>
            </w:r>
            <w:r>
              <w:rPr>
                <w:rFonts w:hint="eastAsia" w:hAnsi="宋体"/>
                <w:color w:val="auto"/>
                <w:sz w:val="24"/>
                <w:highlight w:val="none"/>
                <w:lang w:eastAsia="zh-CN"/>
              </w:rPr>
              <w:t>区</w:t>
            </w:r>
            <w:r>
              <w:rPr>
                <w:rFonts w:hint="eastAsia" w:hAnsi="宋体"/>
                <w:color w:val="auto"/>
                <w:sz w:val="24"/>
                <w:highlight w:val="none"/>
              </w:rPr>
              <w:t>存放。</w:t>
            </w:r>
          </w:p>
          <w:p>
            <w:pPr>
              <w:tabs>
                <w:tab w:val="left" w:pos="3945"/>
              </w:tabs>
              <w:spacing w:line="440" w:lineRule="exact"/>
              <w:ind w:firstLine="480" w:firstLineChars="200"/>
              <w:rPr>
                <w:rFonts w:hint="eastAsia"/>
                <w:color w:val="auto"/>
                <w:sz w:val="24"/>
                <w:highlight w:val="none"/>
              </w:rPr>
            </w:pPr>
            <w:r>
              <w:rPr>
                <w:rFonts w:hint="eastAsia" w:hAnsi="宋体"/>
                <w:color w:val="auto"/>
                <w:sz w:val="24"/>
                <w:highlight w:val="none"/>
              </w:rPr>
              <w:t>（</w:t>
            </w:r>
            <w:r>
              <w:rPr>
                <w:rFonts w:hint="eastAsia"/>
                <w:color w:val="auto"/>
                <w:sz w:val="24"/>
                <w:highlight w:val="none"/>
              </w:rPr>
              <w:t>1</w:t>
            </w:r>
            <w:r>
              <w:rPr>
                <w:rFonts w:hint="eastAsia" w:hAnsi="宋体"/>
                <w:color w:val="auto"/>
                <w:sz w:val="24"/>
                <w:highlight w:val="none"/>
              </w:rPr>
              <w:t>）原料下料</w:t>
            </w:r>
          </w:p>
          <w:p>
            <w:pPr>
              <w:spacing w:line="440" w:lineRule="exact"/>
              <w:ind w:firstLine="480" w:firstLineChars="200"/>
              <w:rPr>
                <w:rFonts w:hint="eastAsia"/>
                <w:color w:val="auto"/>
                <w:sz w:val="24"/>
                <w:highlight w:val="none"/>
              </w:rPr>
            </w:pPr>
            <w:r>
              <w:rPr>
                <w:color w:val="auto"/>
                <w:sz w:val="24"/>
                <w:highlight w:val="none"/>
              </w:rPr>
              <w:t>根据生产计划，人工运至加工区，根据</w:t>
            </w:r>
            <w:r>
              <w:rPr>
                <w:rFonts w:hint="eastAsia"/>
                <w:color w:val="auto"/>
                <w:sz w:val="24"/>
                <w:highlight w:val="none"/>
              </w:rPr>
              <w:t>所需</w:t>
            </w:r>
            <w:r>
              <w:rPr>
                <w:color w:val="auto"/>
                <w:sz w:val="24"/>
                <w:highlight w:val="none"/>
              </w:rPr>
              <w:t>产品尺寸经</w:t>
            </w:r>
            <w:r>
              <w:rPr>
                <w:rFonts w:hint="eastAsia"/>
                <w:color w:val="auto"/>
                <w:sz w:val="24"/>
                <w:highlight w:val="none"/>
                <w:lang w:eastAsia="zh-CN"/>
              </w:rPr>
              <w:t>线</w:t>
            </w:r>
            <w:r>
              <w:rPr>
                <w:rFonts w:hint="eastAsia"/>
                <w:color w:val="auto"/>
                <w:sz w:val="24"/>
                <w:highlight w:val="none"/>
              </w:rPr>
              <w:t>切割机</w:t>
            </w:r>
            <w:r>
              <w:rPr>
                <w:rFonts w:hint="eastAsia"/>
                <w:color w:val="auto"/>
                <w:sz w:val="24"/>
                <w:highlight w:val="none"/>
                <w:lang w:eastAsia="zh-CN"/>
              </w:rPr>
              <w:t>、</w:t>
            </w:r>
            <w:r>
              <w:rPr>
                <w:rFonts w:hint="eastAsia"/>
                <w:color w:val="auto"/>
                <w:sz w:val="24"/>
                <w:highlight w:val="none"/>
                <w:lang w:val="en-US" w:eastAsia="zh-CN"/>
              </w:rPr>
              <w:t>数控火焰切割机或锯床</w:t>
            </w:r>
            <w:r>
              <w:rPr>
                <w:rFonts w:hint="eastAsia"/>
                <w:color w:val="auto"/>
                <w:sz w:val="24"/>
                <w:highlight w:val="none"/>
              </w:rPr>
              <w:t>下料</w:t>
            </w:r>
            <w:r>
              <w:rPr>
                <w:color w:val="auto"/>
                <w:sz w:val="24"/>
                <w:highlight w:val="none"/>
              </w:rPr>
              <w:t>，得到适宜加工的尺寸</w:t>
            </w:r>
            <w:r>
              <w:rPr>
                <w:rFonts w:hint="eastAsia"/>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黑体" w:cs="黑体"/>
                <w:color w:val="auto"/>
                <w:sz w:val="24"/>
                <w:highlight w:val="none"/>
              </w:rPr>
            </w:pPr>
            <w:r>
              <w:rPr>
                <w:rFonts w:hint="eastAsia" w:hAnsi="黑体" w:eastAsia="黑体" w:cs="黑体"/>
                <w:color w:val="auto"/>
                <w:sz w:val="24"/>
                <w:highlight w:val="none"/>
                <w:lang w:eastAsia="zh-CN"/>
              </w:rPr>
              <w:t>产污节点：线切割机下料产生的下脚料、噪声、废切削液、废润滑油。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hAnsi="宋体"/>
                <w:color w:val="auto"/>
                <w:sz w:val="24"/>
                <w:highlight w:val="none"/>
                <w:lang w:eastAsia="zh-CN"/>
              </w:rPr>
            </w:pPr>
            <w:r>
              <w:rPr>
                <w:rFonts w:hint="eastAsia" w:hAnsi="宋体"/>
                <w:color w:val="auto"/>
                <w:sz w:val="24"/>
                <w:highlight w:val="none"/>
                <w:lang w:eastAsia="zh-CN"/>
              </w:rPr>
              <w:t>（</w:t>
            </w:r>
            <w:r>
              <w:rPr>
                <w:rFonts w:hint="eastAsia" w:hAnsi="宋体"/>
                <w:color w:val="auto"/>
                <w:sz w:val="24"/>
                <w:highlight w:val="none"/>
                <w:lang w:val="en-US" w:eastAsia="zh-CN"/>
              </w:rPr>
              <w:t>2</w:t>
            </w:r>
            <w:r>
              <w:rPr>
                <w:rFonts w:hint="eastAsia" w:hAnsi="宋体"/>
                <w:color w:val="auto"/>
                <w:sz w:val="24"/>
                <w:highlight w:val="none"/>
                <w:lang w:eastAsia="zh-CN"/>
              </w:rPr>
              <w:t>）机加工</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hAnsi="宋体"/>
                <w:color w:val="auto"/>
                <w:sz w:val="24"/>
                <w:highlight w:val="none"/>
                <w:lang w:eastAsia="zh-CN"/>
              </w:rPr>
            </w:pPr>
            <w:r>
              <w:rPr>
                <w:rFonts w:hint="eastAsia" w:hAnsi="宋体"/>
                <w:color w:val="auto"/>
                <w:sz w:val="24"/>
                <w:highlight w:val="none"/>
                <w:lang w:eastAsia="zh-CN"/>
              </w:rPr>
              <w:t>按照设计要求对下好的料进行机加工，主要设备为加工中心、车床、钻床、磨床、镗床。</w:t>
            </w:r>
            <w:r>
              <w:rPr>
                <w:rFonts w:hint="eastAsia" w:hAnsi="宋体"/>
                <w:color w:val="auto"/>
                <w:sz w:val="24"/>
                <w:highlight w:val="none"/>
              </w:rPr>
              <w:t>通过铣刀对工件表面进行加工，通常铣刀以旋转运动为主运动，工件和铣刀的移动为进给运动，铣床运行过程中使用切削液，切削液循环使用，定期</w:t>
            </w:r>
            <w:r>
              <w:rPr>
                <w:rFonts w:hint="eastAsia" w:hAnsi="宋体"/>
                <w:color w:val="auto"/>
                <w:sz w:val="24"/>
                <w:highlight w:val="none"/>
                <w:lang w:eastAsia="zh-CN"/>
              </w:rPr>
              <w:t>清理</w:t>
            </w:r>
            <w:r>
              <w:rPr>
                <w:rFonts w:hint="eastAsia" w:hAnsi="宋体"/>
                <w:color w:val="auto"/>
                <w:sz w:val="24"/>
                <w:highlight w:val="none"/>
              </w:rPr>
              <w:t>。</w:t>
            </w:r>
          </w:p>
          <w:p>
            <w:pPr>
              <w:pStyle w:val="22"/>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color w:val="auto"/>
                <w:highlight w:val="none"/>
              </w:rPr>
            </w:pPr>
            <w:r>
              <w:rPr>
                <w:rFonts w:hint="eastAsia" w:hAnsi="黑体" w:eastAsia="黑体" w:cs="黑体"/>
                <w:color w:val="auto"/>
                <w:sz w:val="24"/>
                <w:highlight w:val="none"/>
                <w:lang w:eastAsia="zh-CN"/>
              </w:rPr>
              <w:t>产污节点：加工中心、车床、钻床、压力机等设备产生的下脚料、废润滑油、废切削液、噪声。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color w:val="auto"/>
                <w:sz w:val="24"/>
                <w:highlight w:val="none"/>
              </w:rPr>
            </w:pPr>
            <w:r>
              <w:rPr>
                <w:rFonts w:hint="eastAsia" w:hAnsi="宋体"/>
                <w:color w:val="auto"/>
                <w:sz w:val="24"/>
                <w:highlight w:val="none"/>
                <w:lang w:eastAsia="zh-CN"/>
              </w:rPr>
              <w:t>（</w:t>
            </w:r>
            <w:r>
              <w:rPr>
                <w:rFonts w:hint="eastAsia" w:hAnsi="宋体"/>
                <w:color w:val="auto"/>
                <w:sz w:val="24"/>
                <w:highlight w:val="none"/>
                <w:lang w:val="en-US" w:eastAsia="zh-CN"/>
              </w:rPr>
              <w:t>3</w:t>
            </w:r>
            <w:r>
              <w:rPr>
                <w:rFonts w:hint="eastAsia" w:hAnsi="宋体"/>
                <w:color w:val="auto"/>
                <w:sz w:val="24"/>
                <w:highlight w:val="none"/>
                <w:lang w:eastAsia="zh-CN"/>
              </w:rPr>
              <w:t>）</w:t>
            </w:r>
            <w:r>
              <w:rPr>
                <w:rFonts w:hint="eastAsia" w:hAnsi="宋体"/>
                <w:color w:val="auto"/>
                <w:sz w:val="24"/>
                <w:highlight w:val="none"/>
              </w:rPr>
              <w:t>焊接加工</w:t>
            </w:r>
          </w:p>
          <w:p>
            <w:pPr>
              <w:spacing w:line="440" w:lineRule="exact"/>
              <w:ind w:firstLine="480" w:firstLineChars="200"/>
              <w:rPr>
                <w:color w:val="auto"/>
                <w:sz w:val="24"/>
                <w:highlight w:val="none"/>
              </w:rPr>
            </w:pPr>
            <w:r>
              <w:rPr>
                <w:rFonts w:hint="eastAsia" w:hAnsi="宋体"/>
                <w:color w:val="auto"/>
                <w:sz w:val="24"/>
                <w:highlight w:val="none"/>
              </w:rPr>
              <w:t>对</w:t>
            </w:r>
            <w:r>
              <w:rPr>
                <w:rFonts w:hint="eastAsia" w:hAnsi="宋体"/>
                <w:color w:val="auto"/>
                <w:sz w:val="24"/>
                <w:highlight w:val="none"/>
                <w:lang w:eastAsia="zh-CN"/>
              </w:rPr>
              <w:t>加工好的部件</w:t>
            </w:r>
            <w:r>
              <w:rPr>
                <w:rFonts w:hint="eastAsia" w:hAnsi="宋体"/>
                <w:color w:val="auto"/>
                <w:sz w:val="24"/>
                <w:highlight w:val="none"/>
              </w:rPr>
              <w:t>进行焊接组装。</w:t>
            </w:r>
          </w:p>
          <w:p>
            <w:pPr>
              <w:spacing w:line="440" w:lineRule="exact"/>
              <w:ind w:firstLine="480" w:firstLineChars="200"/>
              <w:rPr>
                <w:rFonts w:hint="eastAsia" w:eastAsia="黑体" w:cs="黑体"/>
                <w:color w:val="auto"/>
                <w:sz w:val="24"/>
                <w:highlight w:val="none"/>
              </w:rPr>
            </w:pPr>
            <w:r>
              <w:rPr>
                <w:rFonts w:hint="eastAsia" w:hAnsi="黑体" w:eastAsia="黑体" w:cs="黑体"/>
                <w:color w:val="auto"/>
                <w:sz w:val="24"/>
                <w:highlight w:val="none"/>
              </w:rPr>
              <w:t>产污节点：焊接产生的废焊条、焊接废气。</w:t>
            </w:r>
          </w:p>
          <w:p>
            <w:pPr>
              <w:spacing w:line="440" w:lineRule="exact"/>
              <w:ind w:firstLine="480" w:firstLineChars="200"/>
              <w:rPr>
                <w:rFonts w:hint="eastAsia"/>
                <w:color w:val="auto"/>
                <w:sz w:val="24"/>
                <w:highlight w:val="none"/>
              </w:rPr>
            </w:pPr>
            <w:r>
              <w:rPr>
                <w:rFonts w:hint="eastAsia" w:hAnsi="宋体"/>
                <w:color w:val="auto"/>
                <w:sz w:val="24"/>
                <w:highlight w:val="none"/>
              </w:rPr>
              <w:t>（</w:t>
            </w:r>
            <w:r>
              <w:rPr>
                <w:rFonts w:hint="eastAsia" w:hAnsi="宋体"/>
                <w:color w:val="auto"/>
                <w:sz w:val="24"/>
                <w:highlight w:val="none"/>
                <w:lang w:val="en-US" w:eastAsia="zh-CN"/>
              </w:rPr>
              <w:t>4）</w:t>
            </w:r>
            <w:r>
              <w:rPr>
                <w:rFonts w:hint="eastAsia" w:hAnsi="宋体"/>
                <w:color w:val="auto"/>
                <w:sz w:val="24"/>
                <w:highlight w:val="none"/>
              </w:rPr>
              <w:t>检验</w:t>
            </w:r>
          </w:p>
          <w:p>
            <w:pPr>
              <w:spacing w:line="440" w:lineRule="exact"/>
              <w:ind w:firstLine="480" w:firstLineChars="200"/>
              <w:rPr>
                <w:rFonts w:hint="eastAsia" w:hAnsi="宋体" w:eastAsia="宋体"/>
                <w:color w:val="auto"/>
                <w:sz w:val="24"/>
                <w:highlight w:val="none"/>
                <w:lang w:eastAsia="zh-CN"/>
              </w:rPr>
            </w:pPr>
            <w:r>
              <w:rPr>
                <w:rFonts w:hint="eastAsia" w:hAnsi="宋体"/>
                <w:color w:val="auto"/>
                <w:sz w:val="24"/>
                <w:highlight w:val="none"/>
              </w:rPr>
              <w:t>对</w:t>
            </w:r>
            <w:r>
              <w:rPr>
                <w:rFonts w:hint="eastAsia" w:hAnsi="宋体"/>
                <w:color w:val="auto"/>
                <w:sz w:val="24"/>
                <w:highlight w:val="none"/>
                <w:lang w:eastAsia="zh-CN"/>
              </w:rPr>
              <w:t>焊接好的工件进行动平衡等性能检验。</w:t>
            </w:r>
          </w:p>
          <w:p>
            <w:pPr>
              <w:pStyle w:val="44"/>
              <w:spacing w:line="440" w:lineRule="exact"/>
              <w:ind w:firstLine="480"/>
              <w:rPr>
                <w:rFonts w:hint="eastAsia" w:hAnsi="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（5）退火</w:t>
            </w:r>
          </w:p>
          <w:p>
            <w:pPr>
              <w:pStyle w:val="44"/>
              <w:spacing w:line="440" w:lineRule="exact"/>
              <w:ind w:firstLine="480"/>
              <w:rPr>
                <w:rFonts w:hint="default" w:hAnsi="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现有工程无退火工序，现有工程涉及的退火工序均外委。</w:t>
            </w:r>
          </w:p>
          <w:p>
            <w:pPr>
              <w:pStyle w:val="44"/>
              <w:spacing w:line="440" w:lineRule="exact"/>
              <w:ind w:firstLine="480"/>
              <w:rPr>
                <w:rFonts w:hint="eastAsia" w:hAnsi="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（6）入库</w:t>
            </w:r>
          </w:p>
          <w:p>
            <w:pPr>
              <w:pStyle w:val="2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textAlignment w:val="auto"/>
              <w:rPr>
                <w:rFonts w:hint="eastAsia" w:hAnsi="黑体" w:eastAsia="黑体" w:cs="黑体"/>
                <w:color w:val="auto"/>
                <w:sz w:val="24"/>
                <w:highlight w:val="none"/>
                <w:lang w:eastAsia="zh-CN"/>
              </w:rPr>
            </w:pPr>
            <w:r>
              <w:rPr>
                <w:rFonts w:hint="eastAsia" w:hAnsi="宋体" w:cs="Times New Roman"/>
                <w:color w:val="auto"/>
                <w:kern w:val="2"/>
                <w:sz w:val="24"/>
                <w:szCs w:val="24"/>
                <w:highlight w:val="none"/>
                <w:lang w:val="en-US" w:eastAsia="zh-CN" w:bidi="ar-SA"/>
              </w:rPr>
              <w:t>加工好的风机叶片及备件存放至原料存放区，待售。</w:t>
            </w: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r>
              <w:rPr>
                <w:color w:val="auto"/>
                <w:highlight w:val="none"/>
              </w:rPr>
              <w:drawing>
                <wp:anchor distT="0" distB="0" distL="114300" distR="114300" simplePos="0" relativeHeight="251754496" behindDoc="0" locked="0" layoutInCell="1" allowOverlap="1">
                  <wp:simplePos x="0" y="0"/>
                  <wp:positionH relativeFrom="column">
                    <wp:posOffset>1533525</wp:posOffset>
                  </wp:positionH>
                  <wp:positionV relativeFrom="paragraph">
                    <wp:posOffset>30480</wp:posOffset>
                  </wp:positionV>
                  <wp:extent cx="2137410" cy="3176270"/>
                  <wp:effectExtent l="0" t="0" r="15240" b="5080"/>
                  <wp:wrapNone/>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5"/>
                          <a:stretch>
                            <a:fillRect/>
                          </a:stretch>
                        </pic:blipFill>
                        <pic:spPr>
                          <a:xfrm>
                            <a:off x="0" y="0"/>
                            <a:ext cx="2137410" cy="3176270"/>
                          </a:xfrm>
                          <a:prstGeom prst="rect">
                            <a:avLst/>
                          </a:prstGeom>
                          <a:noFill/>
                          <a:ln>
                            <a:noFill/>
                          </a:ln>
                        </pic:spPr>
                      </pic:pic>
                    </a:graphicData>
                  </a:graphic>
                </wp:anchor>
              </w:drawing>
            </w: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图</w:t>
            </w:r>
            <w:r>
              <w:rPr>
                <w:rFonts w:hint="eastAsia" w:ascii="Times New Roman" w:hAnsi="Times New Roman"/>
                <w:color w:val="auto"/>
                <w:highlight w:val="none"/>
                <w:lang w:val="en-US" w:eastAsia="zh-CN"/>
              </w:rPr>
              <w:t>1    现有工程</w:t>
            </w:r>
            <w:r>
              <w:rPr>
                <w:rFonts w:ascii="Times New Roman" w:hAnsi="Times New Roman"/>
                <w:color w:val="auto"/>
                <w:highlight w:val="none"/>
              </w:rPr>
              <w:t>风机叶片和</w:t>
            </w:r>
            <w:r>
              <w:rPr>
                <w:rFonts w:hint="eastAsia" w:ascii="Times New Roman" w:hAnsi="Times New Roman"/>
                <w:color w:val="auto"/>
                <w:highlight w:val="none"/>
                <w:lang w:eastAsia="zh-CN"/>
              </w:rPr>
              <w:t>备件加工</w:t>
            </w:r>
            <w:r>
              <w:rPr>
                <w:rFonts w:ascii="Times New Roman" w:hAnsi="Times New Roman"/>
                <w:color w:val="auto"/>
                <w:highlight w:val="none"/>
              </w:rPr>
              <w:t>工艺流程</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textAlignment w:val="auto"/>
              <w:rPr>
                <w:rFonts w:hint="eastAsia" w:ascii="Times New Roman" w:hAnsi="Times New Roman" w:eastAsia="宋体"/>
                <w:color w:val="auto"/>
                <w:highlight w:val="none"/>
                <w:lang w:eastAsia="zh-CN"/>
              </w:rPr>
            </w:pPr>
            <w:r>
              <w:rPr>
                <w:rFonts w:hint="eastAsia" w:ascii="Times New Roman" w:hAnsi="Times New Roman"/>
                <w:color w:val="auto"/>
                <w:highlight w:val="none"/>
                <w:lang w:eastAsia="zh-CN"/>
              </w:rPr>
              <w:t>二、</w:t>
            </w:r>
            <w:r>
              <w:rPr>
                <w:rFonts w:ascii="Times New Roman" w:hAnsi="Times New Roman"/>
                <w:color w:val="auto"/>
                <w:highlight w:val="none"/>
              </w:rPr>
              <w:t>风机</w:t>
            </w:r>
            <w:r>
              <w:rPr>
                <w:rFonts w:hint="eastAsia" w:ascii="Times New Roman" w:hAnsi="Times New Roman"/>
                <w:color w:val="auto"/>
                <w:highlight w:val="none"/>
                <w:lang w:eastAsia="zh-CN"/>
              </w:rPr>
              <w:t>修复</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损坏</w:t>
            </w:r>
            <w:r>
              <w:rPr>
                <w:rFonts w:ascii="Times New Roman" w:hAnsi="Times New Roman"/>
                <w:color w:val="auto"/>
                <w:highlight w:val="none"/>
              </w:rPr>
              <w:t>风机</w:t>
            </w:r>
            <w:r>
              <w:rPr>
                <w:rFonts w:hint="eastAsia" w:ascii="Times New Roman" w:hAnsi="Times New Roman"/>
                <w:color w:val="auto"/>
                <w:highlight w:val="none"/>
                <w:lang w:eastAsia="zh-CN"/>
              </w:rPr>
              <w:t>由汽车运输进厂，人工</w:t>
            </w:r>
            <w:r>
              <w:rPr>
                <w:rFonts w:ascii="Times New Roman" w:hAnsi="Times New Roman"/>
                <w:color w:val="auto"/>
                <w:highlight w:val="none"/>
              </w:rPr>
              <w:t>检查</w:t>
            </w:r>
            <w:r>
              <w:rPr>
                <w:rFonts w:hint="eastAsia" w:ascii="Times New Roman" w:hAnsi="Times New Roman"/>
                <w:color w:val="auto"/>
                <w:highlight w:val="none"/>
                <w:lang w:eastAsia="zh-CN"/>
              </w:rPr>
              <w:t>后</w:t>
            </w:r>
            <w:r>
              <w:rPr>
                <w:rFonts w:ascii="Times New Roman" w:hAnsi="Times New Roman"/>
                <w:color w:val="auto"/>
                <w:highlight w:val="none"/>
              </w:rPr>
              <w:t>，如没有损伤可以直接进行风机平衡检测，缺损部位实测，确定修复方案</w:t>
            </w:r>
            <w:r>
              <w:rPr>
                <w:rFonts w:hint="eastAsia" w:ascii="Times New Roman" w:hAnsi="Times New Roman"/>
                <w:color w:val="auto"/>
                <w:highlight w:val="none"/>
                <w:lang w:eastAsia="zh-CN"/>
              </w:rPr>
              <w:t>。</w:t>
            </w:r>
            <w:r>
              <w:rPr>
                <w:rFonts w:ascii="Times New Roman" w:hAnsi="Times New Roman"/>
                <w:color w:val="auto"/>
                <w:highlight w:val="none"/>
              </w:rPr>
              <w:t>钢板</w:t>
            </w:r>
            <w:r>
              <w:rPr>
                <w:rFonts w:hint="eastAsia" w:ascii="Times New Roman" w:hAnsi="Times New Roman"/>
                <w:color w:val="auto"/>
                <w:highlight w:val="none"/>
                <w:lang w:eastAsia="zh-CN"/>
              </w:rPr>
              <w:t>按照需求下料，使</w:t>
            </w:r>
            <w:r>
              <w:rPr>
                <w:rFonts w:ascii="Times New Roman" w:hAnsi="Times New Roman"/>
                <w:color w:val="auto"/>
                <w:highlight w:val="none"/>
              </w:rPr>
              <w:t>用车床</w:t>
            </w:r>
            <w:r>
              <w:rPr>
                <w:rFonts w:hint="eastAsia" w:ascii="Times New Roman" w:hAnsi="Times New Roman"/>
                <w:color w:val="auto"/>
                <w:highlight w:val="none"/>
                <w:lang w:eastAsia="zh-CN"/>
              </w:rPr>
              <w:t>等设备</w:t>
            </w:r>
            <w:r>
              <w:rPr>
                <w:rFonts w:ascii="Times New Roman" w:hAnsi="Times New Roman"/>
                <w:color w:val="auto"/>
                <w:highlight w:val="none"/>
              </w:rPr>
              <w:t>将风机缺损部位清除，将</w:t>
            </w:r>
            <w:r>
              <w:rPr>
                <w:rFonts w:hint="eastAsia" w:ascii="Times New Roman" w:hAnsi="Times New Roman"/>
                <w:color w:val="auto"/>
                <w:highlight w:val="none"/>
                <w:lang w:eastAsia="zh-CN"/>
              </w:rPr>
              <w:t>下好料的</w:t>
            </w:r>
            <w:r>
              <w:rPr>
                <w:rFonts w:ascii="Times New Roman" w:hAnsi="Times New Roman"/>
                <w:color w:val="auto"/>
                <w:highlight w:val="none"/>
              </w:rPr>
              <w:t>钢板与风机进行焊接，</w:t>
            </w:r>
            <w:r>
              <w:rPr>
                <w:rFonts w:hint="eastAsia" w:ascii="Times New Roman" w:hAnsi="Times New Roman"/>
                <w:color w:val="auto"/>
                <w:highlight w:val="none"/>
                <w:lang w:eastAsia="zh-CN"/>
              </w:rPr>
              <w:t>焊接采用</w:t>
            </w:r>
            <w:r>
              <w:rPr>
                <w:rFonts w:ascii="Times New Roman" w:hAnsi="Times New Roman"/>
                <w:color w:val="auto"/>
                <w:highlight w:val="none"/>
              </w:rPr>
              <w:t>激光焊</w:t>
            </w:r>
            <w:r>
              <w:rPr>
                <w:rFonts w:hint="eastAsia" w:ascii="Times New Roman" w:hAnsi="Times New Roman"/>
                <w:color w:val="auto"/>
                <w:highlight w:val="none"/>
                <w:lang w:eastAsia="zh-CN"/>
              </w:rPr>
              <w:t>机，</w:t>
            </w:r>
            <w:r>
              <w:rPr>
                <w:rFonts w:ascii="Times New Roman" w:hAnsi="Times New Roman"/>
                <w:color w:val="auto"/>
                <w:highlight w:val="none"/>
              </w:rPr>
              <w:t>激光焊接是利用高密度的激光束作为热源的一种高效精密焊接方法，不会产生焊接烟尘，然后再利用车床对修复工件进行整型，整型后进行风机动</w:t>
            </w:r>
            <w:r>
              <w:rPr>
                <w:rFonts w:hint="eastAsia" w:ascii="Times New Roman" w:hAnsi="Times New Roman"/>
                <w:color w:val="auto"/>
                <w:highlight w:val="none"/>
                <w:lang w:eastAsia="zh-CN"/>
              </w:rPr>
              <w:t>平衡</w:t>
            </w:r>
            <w:r>
              <w:rPr>
                <w:rFonts w:ascii="Times New Roman" w:hAnsi="Times New Roman"/>
                <w:color w:val="auto"/>
                <w:highlight w:val="none"/>
              </w:rPr>
              <w:t>检测，检测</w:t>
            </w:r>
            <w:r>
              <w:rPr>
                <w:rFonts w:hint="eastAsia" w:ascii="Times New Roman" w:hAnsi="Times New Roman"/>
                <w:color w:val="auto"/>
                <w:highlight w:val="none"/>
                <w:lang w:eastAsia="zh-CN"/>
              </w:rPr>
              <w:t>平衡</w:t>
            </w:r>
            <w:r>
              <w:rPr>
                <w:rFonts w:ascii="Times New Roman" w:hAnsi="Times New Roman"/>
                <w:color w:val="auto"/>
                <w:highlight w:val="none"/>
              </w:rPr>
              <w:t>后返给业主</w:t>
            </w:r>
            <w:r>
              <w:rPr>
                <w:rFonts w:hint="eastAsia" w:ascii="Times New Roman" w:hAnsi="Times New Roman"/>
                <w:color w:val="auto"/>
                <w:highlight w:val="none"/>
                <w:lang w:eastAsia="zh-CN"/>
              </w:rPr>
              <w:t>。</w:t>
            </w: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Times New Roman" w:hAnsi="Times New Roman"/>
                <w:color w:val="auto"/>
                <w:highlight w:val="none"/>
                <w:lang w:eastAsia="zh-CN"/>
              </w:rPr>
            </w:pPr>
            <w:r>
              <w:rPr>
                <w:color w:val="auto"/>
                <w:highlight w:val="none"/>
              </w:rPr>
              <w:drawing>
                <wp:inline distT="0" distB="0" distL="114300" distR="114300">
                  <wp:extent cx="5737860" cy="1320800"/>
                  <wp:effectExtent l="0" t="0" r="15240" b="1270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6"/>
                          <a:stretch>
                            <a:fillRect/>
                          </a:stretch>
                        </pic:blipFill>
                        <pic:spPr>
                          <a:xfrm>
                            <a:off x="0" y="0"/>
                            <a:ext cx="5737860" cy="1320800"/>
                          </a:xfrm>
                          <a:prstGeom prst="rect">
                            <a:avLst/>
                          </a:prstGeom>
                          <a:noFill/>
                          <a:ln>
                            <a:noFill/>
                          </a:ln>
                        </pic:spPr>
                      </pic:pic>
                    </a:graphicData>
                  </a:graphic>
                </wp:inline>
              </w:drawing>
            </w: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Times New Roman" w:hAnsi="Times New Roman"/>
                <w:color w:val="auto"/>
                <w:highlight w:val="none"/>
              </w:rPr>
            </w:pPr>
            <w:r>
              <w:rPr>
                <w:rFonts w:hint="eastAsia" w:ascii="Times New Roman" w:hAnsi="Times New Roman"/>
                <w:color w:val="auto"/>
                <w:highlight w:val="none"/>
                <w:lang w:eastAsia="zh-CN"/>
              </w:rPr>
              <w:t>图</w:t>
            </w:r>
            <w:r>
              <w:rPr>
                <w:rFonts w:hint="eastAsia" w:ascii="Times New Roman" w:hAnsi="Times New Roman"/>
                <w:color w:val="auto"/>
                <w:highlight w:val="none"/>
                <w:lang w:val="en-US" w:eastAsia="zh-CN"/>
              </w:rPr>
              <w:t xml:space="preserve">2    </w:t>
            </w:r>
            <w:r>
              <w:rPr>
                <w:rFonts w:hint="eastAsia" w:ascii="Times New Roman" w:hAnsi="Times New Roman"/>
                <w:color w:val="auto"/>
                <w:highlight w:val="none"/>
                <w:lang w:eastAsia="zh-CN"/>
              </w:rPr>
              <w:t>风机修复</w:t>
            </w:r>
            <w:r>
              <w:rPr>
                <w:rFonts w:ascii="Times New Roman" w:hAnsi="Times New Roman"/>
                <w:color w:val="auto"/>
                <w:highlight w:val="none"/>
              </w:rPr>
              <w:t>工艺流程</w:t>
            </w:r>
          </w:p>
          <w:p>
            <w:pPr>
              <w:pStyle w:val="2"/>
              <w:keepNext w:val="0"/>
              <w:keepLines w:val="0"/>
              <w:pageBreakBefore w:val="0"/>
              <w:widowControl w:val="0"/>
              <w:kinsoku/>
              <w:wordWrap/>
              <w:overflowPunct/>
              <w:topLinePunct w:val="0"/>
              <w:autoSpaceDE w:val="0"/>
              <w:autoSpaceDN w:val="0"/>
              <w:bidi w:val="0"/>
              <w:adjustRightInd w:val="0"/>
              <w:snapToGrid/>
              <w:spacing w:line="480" w:lineRule="exact"/>
              <w:ind w:firstLine="482" w:firstLineChars="200"/>
              <w:rPr>
                <w:rFonts w:hint="eastAsia"/>
                <w:b/>
                <w:bCs/>
                <w:color w:val="auto"/>
                <w:sz w:val="24"/>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480" w:lineRule="exact"/>
              <w:ind w:firstLine="482" w:firstLineChars="200"/>
              <w:rPr>
                <w:rFonts w:hint="eastAsia" w:eastAsia="宋体"/>
                <w:b/>
                <w:bCs/>
                <w:color w:val="auto"/>
                <w:sz w:val="24"/>
                <w:highlight w:val="none"/>
                <w:lang w:val="en-US" w:eastAsia="zh-CN"/>
              </w:rPr>
            </w:pPr>
            <w:r>
              <w:rPr>
                <w:rFonts w:hint="eastAsia"/>
                <w:b/>
                <w:bCs/>
                <w:color w:val="auto"/>
                <w:sz w:val="24"/>
                <w:highlight w:val="none"/>
                <w:lang w:val="en-US" w:eastAsia="zh-CN"/>
              </w:rPr>
              <w:t>二、技改项目概况（本项目）</w:t>
            </w:r>
          </w:p>
          <w:p>
            <w:pPr>
              <w:spacing w:line="360" w:lineRule="auto"/>
              <w:ind w:firstLine="480" w:firstLineChars="200"/>
              <w:rPr>
                <w:color w:val="auto"/>
                <w:sz w:val="24"/>
                <w:highlight w:val="none"/>
              </w:rPr>
            </w:pPr>
            <w:r>
              <w:rPr>
                <w:color w:val="auto"/>
                <w:sz w:val="24"/>
                <w:highlight w:val="none"/>
              </w:rPr>
              <w:t>1、工程内容</w:t>
            </w:r>
            <w:r>
              <w:rPr>
                <w:color w:val="auto"/>
                <w:highlight w:val="none"/>
              </w:rPr>
              <w:t>：</w:t>
            </w:r>
          </w:p>
          <w:p>
            <w:pPr>
              <w:autoSpaceDE w:val="0"/>
              <w:autoSpaceDN w:val="0"/>
              <w:adjustRightInd w:val="0"/>
              <w:spacing w:line="360" w:lineRule="auto"/>
              <w:ind w:firstLine="480" w:firstLineChars="200"/>
              <w:rPr>
                <w:color w:val="auto"/>
                <w:kern w:val="24"/>
                <w:sz w:val="24"/>
                <w:highlight w:val="none"/>
              </w:rPr>
            </w:pPr>
            <w:r>
              <w:rPr>
                <w:color w:val="auto"/>
                <w:kern w:val="24"/>
                <w:sz w:val="24"/>
                <w:highlight w:val="none"/>
              </w:rPr>
              <w:t>（1）项目名称：</w:t>
            </w:r>
            <w:r>
              <w:rPr>
                <w:rFonts w:hint="eastAsia"/>
                <w:color w:val="auto"/>
                <w:sz w:val="24"/>
                <w:highlight w:val="none"/>
                <w:lang w:eastAsia="zh-CN"/>
              </w:rPr>
              <w:t>透平风机叶片激光熔覆修复及配件生产技改升级项目</w:t>
            </w:r>
            <w:r>
              <w:rPr>
                <w:color w:val="auto"/>
                <w:kern w:val="24"/>
                <w:sz w:val="24"/>
                <w:highlight w:val="none"/>
              </w:rPr>
              <w:t>。</w:t>
            </w:r>
          </w:p>
          <w:p>
            <w:pPr>
              <w:autoSpaceDE w:val="0"/>
              <w:autoSpaceDN w:val="0"/>
              <w:adjustRightInd w:val="0"/>
              <w:spacing w:line="360" w:lineRule="auto"/>
              <w:ind w:firstLine="480" w:firstLineChars="200"/>
              <w:rPr>
                <w:color w:val="auto"/>
                <w:kern w:val="0"/>
                <w:sz w:val="24"/>
                <w:highlight w:val="none"/>
              </w:rPr>
            </w:pPr>
            <w:r>
              <w:rPr>
                <w:color w:val="auto"/>
                <w:kern w:val="0"/>
                <w:sz w:val="24"/>
                <w:highlight w:val="none"/>
              </w:rPr>
              <w:t>（2）建设单位：</w:t>
            </w:r>
            <w:r>
              <w:rPr>
                <w:rFonts w:hint="eastAsia"/>
                <w:color w:val="auto"/>
                <w:sz w:val="24"/>
                <w:highlight w:val="none"/>
                <w:lang w:eastAsia="zh-CN"/>
              </w:rPr>
              <w:t>河北透平风机制造有限公司</w:t>
            </w:r>
            <w:r>
              <w:rPr>
                <w:color w:val="auto"/>
                <w:kern w:val="24"/>
                <w:sz w:val="24"/>
                <w:highlight w:val="none"/>
              </w:rPr>
              <w:t>。</w:t>
            </w:r>
          </w:p>
          <w:p>
            <w:pPr>
              <w:autoSpaceDE w:val="0"/>
              <w:autoSpaceDN w:val="0"/>
              <w:adjustRightInd w:val="0"/>
              <w:spacing w:line="360" w:lineRule="auto"/>
              <w:ind w:firstLine="480" w:firstLineChars="200"/>
              <w:rPr>
                <w:color w:val="auto"/>
                <w:kern w:val="0"/>
                <w:sz w:val="24"/>
                <w:highlight w:val="none"/>
              </w:rPr>
            </w:pPr>
            <w:r>
              <w:rPr>
                <w:color w:val="auto"/>
                <w:kern w:val="0"/>
                <w:sz w:val="24"/>
                <w:highlight w:val="none"/>
              </w:rPr>
              <w:t>（3）建设性质：</w:t>
            </w:r>
            <w:r>
              <w:rPr>
                <w:rFonts w:hint="eastAsia"/>
                <w:color w:val="auto"/>
                <w:kern w:val="0"/>
                <w:sz w:val="24"/>
                <w:highlight w:val="none"/>
                <w:lang w:eastAsia="zh-CN"/>
              </w:rPr>
              <w:t>技改</w:t>
            </w:r>
            <w:r>
              <w:rPr>
                <w:color w:val="auto"/>
                <w:kern w:val="0"/>
                <w:sz w:val="24"/>
                <w:highlight w:val="none"/>
              </w:rPr>
              <w:t>。</w:t>
            </w:r>
          </w:p>
          <w:p>
            <w:pPr>
              <w:autoSpaceDE w:val="0"/>
              <w:autoSpaceDN w:val="0"/>
              <w:adjustRightInd w:val="0"/>
              <w:spacing w:line="360" w:lineRule="auto"/>
              <w:ind w:firstLine="480" w:firstLineChars="200"/>
              <w:rPr>
                <w:color w:val="auto"/>
                <w:kern w:val="0"/>
                <w:sz w:val="24"/>
                <w:highlight w:val="none"/>
              </w:rPr>
            </w:pPr>
            <w:r>
              <w:rPr>
                <w:color w:val="auto"/>
                <w:kern w:val="24"/>
                <w:sz w:val="24"/>
                <w:highlight w:val="none"/>
              </w:rPr>
              <w:t>（4）</w:t>
            </w:r>
            <w:r>
              <w:rPr>
                <w:color w:val="auto"/>
                <w:kern w:val="0"/>
                <w:sz w:val="24"/>
                <w:highlight w:val="none"/>
              </w:rPr>
              <w:t>法人代表：</w:t>
            </w:r>
            <w:r>
              <w:rPr>
                <w:rFonts w:hint="eastAsia"/>
                <w:color w:val="auto"/>
                <w:kern w:val="24"/>
                <w:sz w:val="24"/>
                <w:highlight w:val="none"/>
                <w:lang w:eastAsia="zh-CN"/>
              </w:rPr>
              <w:t>贾建元</w:t>
            </w:r>
            <w:r>
              <w:rPr>
                <w:color w:val="auto"/>
                <w:kern w:val="0"/>
                <w:sz w:val="24"/>
                <w:highlight w:val="none"/>
              </w:rPr>
              <w:t>。</w:t>
            </w:r>
          </w:p>
          <w:p>
            <w:pPr>
              <w:autoSpaceDE w:val="0"/>
              <w:autoSpaceDN w:val="0"/>
              <w:adjustRightInd w:val="0"/>
              <w:spacing w:line="360" w:lineRule="auto"/>
              <w:ind w:firstLine="480" w:firstLineChars="200"/>
              <w:rPr>
                <w:color w:val="auto"/>
                <w:kern w:val="24"/>
                <w:sz w:val="24"/>
                <w:highlight w:val="none"/>
              </w:rPr>
            </w:pPr>
            <w:r>
              <w:rPr>
                <w:color w:val="auto"/>
                <w:kern w:val="24"/>
                <w:sz w:val="24"/>
                <w:highlight w:val="none"/>
              </w:rPr>
              <w:t>（5）</w:t>
            </w:r>
            <w:r>
              <w:rPr>
                <w:rFonts w:hint="eastAsia"/>
                <w:color w:val="auto"/>
                <w:kern w:val="24"/>
                <w:sz w:val="24"/>
                <w:highlight w:val="none"/>
                <w:lang w:eastAsia="zh-CN"/>
              </w:rPr>
              <w:t>工作制度</w:t>
            </w:r>
            <w:r>
              <w:rPr>
                <w:color w:val="auto"/>
                <w:kern w:val="24"/>
                <w:sz w:val="24"/>
                <w:highlight w:val="none"/>
              </w:rPr>
              <w:t>：项目建成后每年工作3</w:t>
            </w:r>
            <w:r>
              <w:rPr>
                <w:rFonts w:hint="eastAsia"/>
                <w:color w:val="auto"/>
                <w:kern w:val="24"/>
                <w:sz w:val="24"/>
                <w:highlight w:val="none"/>
                <w:lang w:val="en-US" w:eastAsia="zh-CN"/>
              </w:rPr>
              <w:t>12</w:t>
            </w:r>
            <w:r>
              <w:rPr>
                <w:color w:val="auto"/>
                <w:kern w:val="24"/>
                <w:sz w:val="24"/>
                <w:highlight w:val="none"/>
              </w:rPr>
              <w:t>天，每天1班，每班8小时。</w:t>
            </w:r>
          </w:p>
          <w:p>
            <w:pPr>
              <w:autoSpaceDE w:val="0"/>
              <w:autoSpaceDN w:val="0"/>
              <w:adjustRightInd w:val="0"/>
              <w:spacing w:line="360" w:lineRule="auto"/>
              <w:ind w:firstLine="480" w:firstLineChars="200"/>
              <w:rPr>
                <w:rFonts w:ascii="宋体" w:hAnsi="宋体"/>
                <w:color w:val="auto"/>
                <w:kern w:val="24"/>
                <w:sz w:val="24"/>
                <w:highlight w:val="none"/>
              </w:rPr>
            </w:pPr>
            <w:r>
              <w:rPr>
                <w:color w:val="auto"/>
                <w:kern w:val="24"/>
                <w:sz w:val="24"/>
                <w:highlight w:val="none"/>
              </w:rPr>
              <w:t>（6）产品方案：</w:t>
            </w:r>
            <w:r>
              <w:rPr>
                <w:rFonts w:hint="eastAsia" w:ascii="宋体" w:hAnsi="宋体"/>
                <w:color w:val="auto"/>
                <w:kern w:val="24"/>
                <w:sz w:val="24"/>
                <w:highlight w:val="none"/>
              </w:rPr>
              <w:t>本</w:t>
            </w:r>
            <w:r>
              <w:rPr>
                <w:rFonts w:hint="eastAsia" w:ascii="宋体" w:hAnsi="宋体"/>
                <w:color w:val="auto"/>
                <w:kern w:val="24"/>
                <w:sz w:val="24"/>
                <w:highlight w:val="none"/>
                <w:lang w:eastAsia="zh-CN"/>
              </w:rPr>
              <w:t>次技改</w:t>
            </w:r>
            <w:r>
              <w:rPr>
                <w:rFonts w:hint="eastAsia" w:ascii="宋体" w:hAnsi="宋体"/>
                <w:color w:val="auto"/>
                <w:kern w:val="24"/>
                <w:sz w:val="24"/>
                <w:highlight w:val="none"/>
              </w:rPr>
              <w:t>项目</w:t>
            </w:r>
            <w:r>
              <w:rPr>
                <w:rFonts w:hint="eastAsia" w:ascii="宋体" w:hAnsi="宋体"/>
                <w:color w:val="auto"/>
                <w:kern w:val="24"/>
                <w:sz w:val="24"/>
                <w:highlight w:val="none"/>
                <w:lang w:eastAsia="zh-CN"/>
              </w:rPr>
              <w:t>产品为</w:t>
            </w:r>
            <w:r>
              <w:rPr>
                <w:rFonts w:hint="eastAsia"/>
                <w:color w:val="auto"/>
                <w:sz w:val="24"/>
                <w:szCs w:val="28"/>
                <w:highlight w:val="none"/>
              </w:rPr>
              <w:t>年加工叶片80台（套）、风机备件130 台（套），年检修风机100台（套）</w:t>
            </w:r>
            <w:r>
              <w:rPr>
                <w:rFonts w:hint="eastAsia" w:ascii="宋体" w:hAnsi="宋体"/>
                <w:color w:val="auto"/>
                <w:kern w:val="24"/>
                <w:sz w:val="24"/>
                <w:highlight w:val="none"/>
              </w:rPr>
              <w:t>，</w:t>
            </w:r>
            <w:r>
              <w:rPr>
                <w:rFonts w:hint="eastAsia" w:ascii="宋体" w:hAnsi="宋体"/>
                <w:color w:val="auto"/>
                <w:kern w:val="24"/>
                <w:sz w:val="24"/>
                <w:highlight w:val="none"/>
                <w:lang w:eastAsia="zh-CN"/>
              </w:rPr>
              <w:t>无新增产能</w:t>
            </w:r>
            <w:r>
              <w:rPr>
                <w:color w:val="auto"/>
                <w:kern w:val="24"/>
                <w:sz w:val="24"/>
                <w:highlight w:val="none"/>
              </w:rPr>
              <w:t>。</w:t>
            </w:r>
          </w:p>
          <w:p>
            <w:pPr>
              <w:numPr>
                <w:ilvl w:val="0"/>
                <w:numId w:val="2"/>
              </w:numPr>
              <w:autoSpaceDE w:val="0"/>
              <w:autoSpaceDN w:val="0"/>
              <w:adjustRightInd w:val="0"/>
              <w:spacing w:line="360" w:lineRule="auto"/>
              <w:ind w:firstLine="480" w:firstLineChars="200"/>
              <w:rPr>
                <w:rFonts w:hint="eastAsia"/>
                <w:color w:val="auto"/>
                <w:kern w:val="24"/>
                <w:sz w:val="24"/>
                <w:highlight w:val="none"/>
                <w:lang w:eastAsia="zh-CN"/>
              </w:rPr>
            </w:pPr>
            <w:r>
              <w:rPr>
                <w:color w:val="auto"/>
                <w:kern w:val="24"/>
                <w:sz w:val="24"/>
                <w:highlight w:val="none"/>
              </w:rPr>
              <w:t>建设内容及规模</w:t>
            </w:r>
            <w:r>
              <w:rPr>
                <w:color w:val="auto"/>
                <w:sz w:val="24"/>
                <w:szCs w:val="28"/>
                <w:highlight w:val="none"/>
              </w:rPr>
              <w:t>：</w:t>
            </w:r>
            <w:r>
              <w:rPr>
                <w:rFonts w:hint="eastAsia"/>
                <w:color w:val="auto"/>
                <w:sz w:val="24"/>
                <w:szCs w:val="28"/>
                <w:highlight w:val="none"/>
              </w:rPr>
              <w:t>总占地面积13161.3m²（合19.74亩），项目利用原有厂房对生产线进行技改升级。主要新增数控加工中心、车床、铣床、钻床、锯床、磨床、自制抛光机、螺杆空压机、</w:t>
            </w:r>
            <w:r>
              <w:rPr>
                <w:rFonts w:hint="eastAsia"/>
                <w:color w:val="auto"/>
                <w:sz w:val="24"/>
                <w:szCs w:val="28"/>
                <w:highlight w:val="none"/>
                <w:lang w:eastAsia="zh-CN"/>
              </w:rPr>
              <w:t>镗</w:t>
            </w:r>
            <w:r>
              <w:rPr>
                <w:rFonts w:hint="eastAsia"/>
                <w:color w:val="auto"/>
                <w:sz w:val="24"/>
                <w:szCs w:val="28"/>
                <w:highlight w:val="none"/>
              </w:rPr>
              <w:t>床、数控火焰切割机、卷板机、箱</w:t>
            </w:r>
            <w:r>
              <w:rPr>
                <w:rFonts w:hint="eastAsia"/>
                <w:color w:val="auto"/>
                <w:sz w:val="24"/>
                <w:szCs w:val="28"/>
                <w:highlight w:val="none"/>
                <w:lang w:eastAsia="zh-CN"/>
              </w:rPr>
              <w:t>型</w:t>
            </w:r>
            <w:r>
              <w:rPr>
                <w:rFonts w:hint="eastAsia"/>
                <w:color w:val="auto"/>
                <w:sz w:val="24"/>
                <w:szCs w:val="28"/>
                <w:highlight w:val="none"/>
              </w:rPr>
              <w:t>电阻炉、自制圆形电阻炉等其他辅助生产设备共26台（套）。项目建成后，达到年加工叶片80台（套）、风机备件130 台（套），年检修风机100台（套）。</w:t>
            </w:r>
            <w:r>
              <w:rPr>
                <w:rFonts w:hint="eastAsia"/>
                <w:color w:val="auto"/>
                <w:sz w:val="24"/>
                <w:szCs w:val="28"/>
                <w:highlight w:val="none"/>
                <w:lang w:eastAsia="zh-CN"/>
              </w:rPr>
              <w:t>本次技改升级主要</w:t>
            </w:r>
            <w:r>
              <w:rPr>
                <w:rFonts w:hint="eastAsia"/>
                <w:color w:val="auto"/>
                <w:sz w:val="24"/>
                <w:highlight w:val="none"/>
                <w:lang w:eastAsia="zh-CN"/>
              </w:rPr>
              <w:t>为了节约成本，提高产品品质，提高市场竞争力，</w:t>
            </w:r>
            <w:r>
              <w:rPr>
                <w:rFonts w:hint="eastAsia"/>
                <w:color w:val="auto"/>
                <w:sz w:val="24"/>
                <w:szCs w:val="28"/>
                <w:highlight w:val="none"/>
                <w:lang w:val="en-US" w:eastAsia="zh-CN"/>
              </w:rPr>
              <w:t>项目建成后，产能不变。</w:t>
            </w:r>
          </w:p>
          <w:p>
            <w:pPr>
              <w:numPr>
                <w:ilvl w:val="0"/>
                <w:numId w:val="0"/>
              </w:numPr>
              <w:autoSpaceDE w:val="0"/>
              <w:autoSpaceDN w:val="0"/>
              <w:adjustRightInd w:val="0"/>
              <w:spacing w:line="360" w:lineRule="auto"/>
              <w:ind w:firstLine="480" w:firstLineChars="200"/>
              <w:rPr>
                <w:bCs/>
                <w:color w:val="auto"/>
                <w:sz w:val="24"/>
                <w:highlight w:val="none"/>
              </w:rPr>
            </w:pPr>
            <w:r>
              <w:rPr>
                <w:rFonts w:hint="eastAsia"/>
                <w:color w:val="auto"/>
                <w:kern w:val="24"/>
                <w:sz w:val="24"/>
                <w:highlight w:val="none"/>
                <w:lang w:eastAsia="zh-CN"/>
              </w:rPr>
              <w:t>技改项目实施后，无新增建构筑物，全厂</w:t>
            </w:r>
            <w:r>
              <w:rPr>
                <w:color w:val="auto"/>
                <w:kern w:val="24"/>
                <w:sz w:val="24"/>
                <w:highlight w:val="none"/>
              </w:rPr>
              <w:t>主要</w:t>
            </w:r>
            <w:r>
              <w:rPr>
                <w:rFonts w:hint="eastAsia"/>
                <w:color w:val="auto"/>
                <w:kern w:val="24"/>
                <w:sz w:val="24"/>
                <w:highlight w:val="none"/>
                <w:lang w:eastAsia="zh-CN"/>
              </w:rPr>
              <w:t>建构筑物</w:t>
            </w:r>
            <w:r>
              <w:rPr>
                <w:color w:val="auto"/>
                <w:kern w:val="24"/>
                <w:sz w:val="24"/>
                <w:highlight w:val="none"/>
              </w:rPr>
              <w:t>见表</w:t>
            </w:r>
            <w:r>
              <w:rPr>
                <w:rFonts w:hint="eastAsia"/>
                <w:color w:val="auto"/>
                <w:kern w:val="24"/>
                <w:sz w:val="24"/>
                <w:highlight w:val="none"/>
                <w:lang w:val="en-US" w:eastAsia="zh-CN"/>
              </w:rPr>
              <w:t>5，技改项目依托内容见表6</w:t>
            </w:r>
            <w:r>
              <w:rPr>
                <w:color w:val="auto"/>
                <w:kern w:val="24"/>
                <w:sz w:val="24"/>
                <w:highlight w:val="none"/>
              </w:rPr>
              <w:t>。</w:t>
            </w:r>
          </w:p>
          <w:p>
            <w:pPr>
              <w:spacing w:line="500" w:lineRule="exact"/>
              <w:ind w:firstLine="482" w:firstLineChars="200"/>
              <w:jc w:val="center"/>
              <w:rPr>
                <w:rFonts w:hint="default" w:ascii="Times New Roman" w:hAnsi="Times New Roman" w:eastAsia="宋体" w:cs="Times New Roman"/>
                <w:b/>
                <w:bCs/>
                <w:color w:val="auto"/>
                <w:kern w:val="0"/>
                <w:sz w:val="24"/>
                <w:highlight w:val="none"/>
                <w:lang w:eastAsia="zh-CN"/>
              </w:rPr>
            </w:pPr>
            <w:r>
              <w:rPr>
                <w:rFonts w:hint="default" w:ascii="Times New Roman" w:hAnsi="Times New Roman" w:eastAsia="宋体" w:cs="Times New Roman"/>
                <w:b/>
                <w:bCs/>
                <w:color w:val="auto"/>
                <w:kern w:val="0"/>
                <w:sz w:val="24"/>
                <w:highlight w:val="none"/>
                <w:lang w:eastAsia="zh-CN"/>
              </w:rPr>
              <w:t>表</w:t>
            </w:r>
            <w:r>
              <w:rPr>
                <w:rFonts w:hint="eastAsia" w:cs="Times New Roman"/>
                <w:b/>
                <w:bCs/>
                <w:color w:val="auto"/>
                <w:kern w:val="0"/>
                <w:sz w:val="24"/>
                <w:highlight w:val="none"/>
                <w:lang w:val="en-US" w:eastAsia="zh-CN"/>
              </w:rPr>
              <w:t>5</w:t>
            </w:r>
            <w:r>
              <w:rPr>
                <w:rFonts w:hint="default" w:ascii="Times New Roman" w:hAnsi="Times New Roman" w:eastAsia="宋体" w:cs="Times New Roman"/>
                <w:b/>
                <w:bCs/>
                <w:color w:val="auto"/>
                <w:kern w:val="0"/>
                <w:sz w:val="24"/>
                <w:highlight w:val="none"/>
                <w:lang w:eastAsia="zh-CN"/>
              </w:rPr>
              <w:t xml:space="preserve">    主要建构筑物一览表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1895"/>
              <w:gridCol w:w="900"/>
              <w:gridCol w:w="46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工程名称</w:t>
                  </w:r>
                </w:p>
              </w:tc>
              <w:tc>
                <w:tcPr>
                  <w:tcW w:w="1895" w:type="dxa"/>
                  <w:tcBorders>
                    <w:bottom w:val="single" w:color="auto" w:sz="4" w:space="0"/>
                  </w:tcBorders>
                  <w:noWrap w:val="0"/>
                  <w:vAlign w:val="center"/>
                </w:tcPr>
                <w:p>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建筑面积（</w:t>
                  </w: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r>
                    <w:rPr>
                      <w:rFonts w:hint="default" w:ascii="Times New Roman" w:hAnsi="Times New Roman" w:cs="Times New Roman"/>
                      <w:color w:val="auto"/>
                      <w:szCs w:val="21"/>
                      <w:highlight w:val="none"/>
                    </w:rPr>
                    <w:t>）</w:t>
                  </w:r>
                </w:p>
              </w:tc>
              <w:tc>
                <w:tcPr>
                  <w:tcW w:w="900" w:type="dxa"/>
                  <w:tcBorders>
                    <w:bottom w:val="single" w:color="auto" w:sz="4" w:space="0"/>
                  </w:tcBorders>
                  <w:noWrap w:val="0"/>
                  <w:vAlign w:val="center"/>
                </w:tcPr>
                <w:p>
                  <w:pPr>
                    <w:widowControl/>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4621" w:type="dxa"/>
                  <w:tcBorders>
                    <w:bottom w:val="single" w:color="auto" w:sz="4" w:space="0"/>
                  </w:tcBorders>
                  <w:noWrap w:val="0"/>
                  <w:vAlign w:val="center"/>
                </w:tcPr>
                <w:p>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739" w:type="dxa"/>
                  <w:noWrap w:val="0"/>
                  <w:vAlign w:val="center"/>
                </w:tcPr>
                <w:p>
                  <w:pPr>
                    <w:snapToGrid w:val="0"/>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生产</w:t>
                  </w:r>
                  <w:r>
                    <w:rPr>
                      <w:rFonts w:hint="default" w:ascii="Times New Roman" w:hAnsi="Times New Roman" w:cs="Times New Roman"/>
                      <w:color w:val="auto"/>
                      <w:szCs w:val="21"/>
                      <w:highlight w:val="none"/>
                    </w:rPr>
                    <w:t>车间</w:t>
                  </w:r>
                </w:p>
              </w:tc>
              <w:tc>
                <w:tcPr>
                  <w:tcW w:w="1895"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3131.162</w:t>
                  </w:r>
                </w:p>
              </w:tc>
              <w:tc>
                <w:tcPr>
                  <w:tcW w:w="900" w:type="dxa"/>
                  <w:noWrap w:val="0"/>
                  <w:vAlign w:val="center"/>
                </w:tcPr>
                <w:p>
                  <w:pPr>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4621" w:type="dxa"/>
                  <w:noWrap w:val="0"/>
                  <w:vAlign w:val="center"/>
                </w:tcPr>
                <w:p>
                  <w:pPr>
                    <w:snapToGrid w:val="0"/>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钢结构</w:t>
                  </w:r>
                  <w:r>
                    <w:rPr>
                      <w:rFonts w:hint="eastAsia" w:cs="Times New Roman"/>
                      <w:color w:val="auto"/>
                      <w:szCs w:val="21"/>
                      <w:highlight w:val="none"/>
                      <w:lang w:eastAsia="zh-CN"/>
                    </w:rPr>
                    <w:t>（</w:t>
                  </w:r>
                  <w:r>
                    <w:rPr>
                      <w:rFonts w:hint="eastAsia" w:cs="Times New Roman"/>
                      <w:color w:val="auto"/>
                      <w:szCs w:val="21"/>
                      <w:highlight w:val="none"/>
                      <w:lang w:val="en-US" w:eastAsia="zh-CN"/>
                    </w:rPr>
                    <w:t>64.6m×48.47m</w:t>
                  </w:r>
                  <w:r>
                    <w:rPr>
                      <w:rFonts w:hint="eastAsia" w:cs="Times New Roman"/>
                      <w:color w:val="auto"/>
                      <w:szCs w:val="21"/>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eastAsia"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办公室</w:t>
                  </w:r>
                </w:p>
              </w:tc>
              <w:tc>
                <w:tcPr>
                  <w:tcW w:w="1895" w:type="dxa"/>
                  <w:noWrap w:val="0"/>
                  <w:vAlign w:val="center"/>
                </w:tcPr>
                <w:p>
                  <w:pPr>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441.8</w:t>
                  </w:r>
                </w:p>
              </w:tc>
              <w:tc>
                <w:tcPr>
                  <w:tcW w:w="900"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1</w:t>
                  </w:r>
                </w:p>
              </w:tc>
              <w:tc>
                <w:tcPr>
                  <w:tcW w:w="4621" w:type="dxa"/>
                  <w:noWrap w:val="0"/>
                  <w:vAlign w:val="center"/>
                </w:tcPr>
                <w:p>
                  <w:pPr>
                    <w:snapToGrid w:val="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砖混结构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eastAsia"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警卫室</w:t>
                  </w:r>
                </w:p>
              </w:tc>
              <w:tc>
                <w:tcPr>
                  <w:tcW w:w="1895"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56</w:t>
                  </w:r>
                </w:p>
              </w:tc>
              <w:tc>
                <w:tcPr>
                  <w:tcW w:w="900"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w:t>
                  </w:r>
                </w:p>
              </w:tc>
              <w:tc>
                <w:tcPr>
                  <w:tcW w:w="4621" w:type="dxa"/>
                  <w:noWrap w:val="0"/>
                  <w:vAlign w:val="center"/>
                </w:tcPr>
                <w:p>
                  <w:pPr>
                    <w:snapToGrid w:val="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eastAsia"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危废暂存间</w:t>
                  </w:r>
                </w:p>
              </w:tc>
              <w:tc>
                <w:tcPr>
                  <w:tcW w:w="1895" w:type="dxa"/>
                  <w:noWrap w:val="0"/>
                  <w:vAlign w:val="center"/>
                </w:tcPr>
                <w:p>
                  <w:pPr>
                    <w:snapToGrid w:val="0"/>
                    <w:jc w:val="center"/>
                    <w:rPr>
                      <w:rFonts w:hint="default" w:eastAsia="宋体" w:cs="Times New Roman"/>
                      <w:color w:val="auto"/>
                      <w:kern w:val="0"/>
                      <w:szCs w:val="21"/>
                      <w:highlight w:val="none"/>
                      <w:lang w:val="en-US" w:eastAsia="zh-CN"/>
                    </w:rPr>
                  </w:pPr>
                  <w:r>
                    <w:rPr>
                      <w:rFonts w:hint="eastAsia"/>
                      <w:color w:val="auto"/>
                      <w:highlight w:val="none"/>
                      <w:lang w:val="en-US" w:eastAsia="zh-CN"/>
                    </w:rPr>
                    <w:t>6.6</w:t>
                  </w:r>
                </w:p>
              </w:tc>
              <w:tc>
                <w:tcPr>
                  <w:tcW w:w="900" w:type="dxa"/>
                  <w:noWrap w:val="0"/>
                  <w:vAlign w:val="center"/>
                </w:tcPr>
                <w:p>
                  <w:pPr>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1</w:t>
                  </w:r>
                </w:p>
              </w:tc>
              <w:tc>
                <w:tcPr>
                  <w:tcW w:w="4621" w:type="dxa"/>
                  <w:noWrap w:val="0"/>
                  <w:vAlign w:val="center"/>
                </w:tcPr>
                <w:p>
                  <w:pPr>
                    <w:snapToGrid w:val="0"/>
                    <w:jc w:val="center"/>
                    <w:rPr>
                      <w:rFonts w:hint="eastAsia" w:eastAsia="宋体" w:cs="Times New Roman"/>
                      <w:color w:val="auto"/>
                      <w:szCs w:val="21"/>
                      <w:highlight w:val="none"/>
                      <w:lang w:eastAsia="zh-CN"/>
                    </w:rPr>
                  </w:pPr>
                  <w:r>
                    <w:rPr>
                      <w:rFonts w:hint="eastAsia" w:cs="Times New Roman"/>
                      <w:color w:val="auto"/>
                      <w:szCs w:val="21"/>
                      <w:highlight w:val="none"/>
                      <w:lang w:eastAsia="zh-CN"/>
                    </w:rPr>
                    <w:t>位于厂区西南侧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eastAsia" w:ascii="Times New Roman" w:hAnsi="Times New Roman" w:eastAsia="宋体" w:cs="Times New Roman"/>
                      <w:color w:val="auto"/>
                      <w:kern w:val="0"/>
                      <w:szCs w:val="21"/>
                      <w:highlight w:val="none"/>
                      <w:lang w:eastAsia="zh-CN"/>
                    </w:rPr>
                  </w:pPr>
                  <w:r>
                    <w:rPr>
                      <w:rFonts w:hint="eastAsia" w:cs="Times New Roman"/>
                      <w:color w:val="auto"/>
                      <w:kern w:val="0"/>
                      <w:szCs w:val="21"/>
                      <w:highlight w:val="none"/>
                      <w:lang w:eastAsia="zh-CN"/>
                    </w:rPr>
                    <w:t>道路及硬化</w:t>
                  </w:r>
                </w:p>
              </w:tc>
              <w:tc>
                <w:tcPr>
                  <w:tcW w:w="1895" w:type="dxa"/>
                  <w:noWrap w:val="0"/>
                  <w:vAlign w:val="center"/>
                </w:tcPr>
                <w:p>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9525.738</w:t>
                  </w:r>
                </w:p>
              </w:tc>
              <w:tc>
                <w:tcPr>
                  <w:tcW w:w="900" w:type="dxa"/>
                  <w:noWrap w:val="0"/>
                  <w:vAlign w:val="center"/>
                </w:tcPr>
                <w:p>
                  <w:pPr>
                    <w:snapToGrid w:val="0"/>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w:t>
                  </w:r>
                </w:p>
              </w:tc>
              <w:tc>
                <w:tcPr>
                  <w:tcW w:w="4621" w:type="dxa"/>
                  <w:noWrap w:val="0"/>
                  <w:vAlign w:val="center"/>
                </w:tcPr>
                <w:p>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9" w:type="dxa"/>
                  <w:noWrap w:val="0"/>
                  <w:vAlign w:val="center"/>
                </w:tcPr>
                <w:p>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合计</w:t>
                  </w:r>
                </w:p>
              </w:tc>
              <w:tc>
                <w:tcPr>
                  <w:tcW w:w="1895" w:type="dxa"/>
                  <w:noWrap w:val="0"/>
                  <w:vAlign w:val="center"/>
                </w:tcPr>
                <w:p>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kern w:val="0"/>
                      <w:szCs w:val="21"/>
                      <w:highlight w:val="none"/>
                      <w:lang w:val="en-US" w:eastAsia="zh-CN"/>
                    </w:rPr>
                    <w:t>13161.3</w:t>
                  </w:r>
                </w:p>
              </w:tc>
              <w:tc>
                <w:tcPr>
                  <w:tcW w:w="900" w:type="dxa"/>
                  <w:noWrap w:val="0"/>
                  <w:vAlign w:val="center"/>
                </w:tcPr>
                <w:p>
                  <w:pPr>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4621" w:type="dxa"/>
                  <w:noWrap w:val="0"/>
                  <w:vAlign w:val="center"/>
                </w:tcPr>
                <w:p>
                  <w:pPr>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r>
          </w:tbl>
          <w:p>
            <w:pPr>
              <w:spacing w:line="500" w:lineRule="exact"/>
              <w:jc w:val="both"/>
              <w:rPr>
                <w:rFonts w:hint="default" w:ascii="Times New Roman" w:hAnsi="Times New Roman" w:eastAsia="宋体" w:cs="Times New Roman"/>
                <w:b/>
                <w:bCs/>
                <w:color w:val="auto"/>
                <w:kern w:val="0"/>
                <w:sz w:val="24"/>
                <w:highlight w:val="none"/>
              </w:rPr>
            </w:pPr>
          </w:p>
          <w:p>
            <w:pPr>
              <w:spacing w:line="500" w:lineRule="exact"/>
              <w:ind w:firstLine="482" w:firstLineChars="200"/>
              <w:jc w:val="center"/>
              <w:rPr>
                <w:rFonts w:hint="default" w:ascii="Times New Roman" w:hAnsi="Times New Roman" w:eastAsia="宋体" w:cs="Times New Roman"/>
                <w:b/>
                <w:bCs/>
                <w:color w:val="auto"/>
                <w:kern w:val="0"/>
                <w:sz w:val="24"/>
                <w:highlight w:val="none"/>
              </w:rPr>
            </w:pPr>
          </w:p>
          <w:p>
            <w:pPr>
              <w:spacing w:line="500" w:lineRule="exact"/>
              <w:ind w:firstLine="482" w:firstLineChars="200"/>
              <w:jc w:val="center"/>
              <w:rPr>
                <w:rFonts w:hint="default" w:ascii="Times New Roman" w:hAnsi="Times New Roman" w:eastAsia="宋体" w:cs="Times New Roman"/>
                <w:b/>
                <w:bCs/>
                <w:color w:val="auto"/>
                <w:kern w:val="0"/>
                <w:sz w:val="24"/>
                <w:highlight w:val="none"/>
              </w:rPr>
            </w:pPr>
          </w:p>
          <w:p>
            <w:pPr>
              <w:spacing w:line="500" w:lineRule="exact"/>
              <w:ind w:firstLine="482" w:firstLineChars="200"/>
              <w:jc w:val="center"/>
              <w:rPr>
                <w:rFonts w:hint="default" w:ascii="Times New Roman" w:hAnsi="Times New Roman" w:eastAsia="宋体" w:cs="Times New Roman"/>
                <w:b/>
                <w:bCs/>
                <w:color w:val="auto"/>
                <w:kern w:val="0"/>
                <w:sz w:val="24"/>
                <w:highlight w:val="none"/>
              </w:rPr>
            </w:pPr>
          </w:p>
          <w:p>
            <w:pPr>
              <w:spacing w:line="500" w:lineRule="exact"/>
              <w:ind w:firstLine="482" w:firstLineChars="200"/>
              <w:jc w:val="center"/>
              <w:rPr>
                <w:rFonts w:hint="default" w:ascii="Times New Roman" w:hAnsi="Times New Roman" w:eastAsia="宋体" w:cs="Times New Roman"/>
                <w:b/>
                <w:bCs/>
                <w:color w:val="auto"/>
                <w:kern w:val="0"/>
                <w:sz w:val="24"/>
                <w:highlight w:val="none"/>
              </w:rPr>
            </w:pPr>
          </w:p>
          <w:p>
            <w:pPr>
              <w:spacing w:line="500" w:lineRule="exact"/>
              <w:ind w:firstLine="482" w:firstLineChars="200"/>
              <w:jc w:val="center"/>
              <w:rPr>
                <w:rFonts w:hint="default" w:ascii="Times New Roman" w:hAnsi="Times New Roman" w:eastAsia="宋体" w:cs="Times New Roman"/>
                <w:b/>
                <w:bCs/>
                <w:color w:val="auto"/>
                <w:kern w:val="0"/>
                <w:sz w:val="24"/>
                <w:highlight w:val="none"/>
              </w:rPr>
            </w:pPr>
          </w:p>
          <w:p>
            <w:pPr>
              <w:spacing w:line="500" w:lineRule="exact"/>
              <w:ind w:firstLine="482" w:firstLineChars="200"/>
              <w:jc w:val="center"/>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表</w:t>
            </w:r>
            <w:r>
              <w:rPr>
                <w:rFonts w:hint="eastAsia" w:cs="Times New Roman"/>
                <w:b/>
                <w:bCs/>
                <w:color w:val="auto"/>
                <w:kern w:val="0"/>
                <w:sz w:val="24"/>
                <w:highlight w:val="none"/>
                <w:lang w:val="en-US" w:eastAsia="zh-CN"/>
              </w:rPr>
              <w:t xml:space="preserve">6    </w:t>
            </w:r>
            <w:r>
              <w:rPr>
                <w:rFonts w:hint="eastAsia" w:cs="Times New Roman"/>
                <w:b/>
                <w:bCs/>
                <w:color w:val="auto"/>
                <w:kern w:val="0"/>
                <w:sz w:val="24"/>
                <w:highlight w:val="none"/>
                <w:lang w:eastAsia="zh-CN"/>
              </w:rPr>
              <w:t>技改</w:t>
            </w:r>
            <w:r>
              <w:rPr>
                <w:rFonts w:hint="default" w:ascii="Times New Roman" w:hAnsi="Times New Roman" w:eastAsia="宋体" w:cs="Times New Roman"/>
                <w:b/>
                <w:bCs/>
                <w:color w:val="auto"/>
                <w:kern w:val="0"/>
                <w:sz w:val="24"/>
                <w:highlight w:val="none"/>
                <w:lang w:eastAsia="zh-CN"/>
              </w:rPr>
              <w:t>项目</w:t>
            </w:r>
            <w:r>
              <w:rPr>
                <w:rFonts w:hint="eastAsia" w:cs="Times New Roman"/>
                <w:b/>
                <w:bCs/>
                <w:color w:val="auto"/>
                <w:kern w:val="0"/>
                <w:sz w:val="24"/>
                <w:highlight w:val="none"/>
                <w:lang w:eastAsia="zh-CN"/>
              </w:rPr>
              <w:t>依托</w:t>
            </w:r>
            <w:r>
              <w:rPr>
                <w:rFonts w:hint="default" w:ascii="Times New Roman" w:hAnsi="Times New Roman" w:eastAsia="宋体" w:cs="Times New Roman"/>
                <w:b/>
                <w:bCs/>
                <w:color w:val="auto"/>
                <w:kern w:val="0"/>
                <w:sz w:val="24"/>
                <w:highlight w:val="none"/>
              </w:rPr>
              <w:t>内容一览表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4"/>
              <w:gridCol w:w="468"/>
              <w:gridCol w:w="2334"/>
              <w:gridCol w:w="2865"/>
              <w:gridCol w:w="304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2" w:type="dxa"/>
                  <w:gridSpan w:val="2"/>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类别</w:t>
                  </w:r>
                </w:p>
              </w:tc>
              <w:tc>
                <w:tcPr>
                  <w:tcW w:w="233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sz w:val="21"/>
                      <w:szCs w:val="21"/>
                      <w:highlight w:val="none"/>
                      <w:lang w:eastAsia="zh-CN"/>
                    </w:rPr>
                  </w:pPr>
                  <w:r>
                    <w:rPr>
                      <w:rFonts w:hint="default" w:ascii="Times New Roman" w:hAnsi="Times New Roman" w:cs="Times New Roman"/>
                      <w:color w:val="auto"/>
                      <w:sz w:val="21"/>
                      <w:szCs w:val="21"/>
                      <w:highlight w:val="none"/>
                      <w:lang w:eastAsia="zh-CN"/>
                    </w:rPr>
                    <w:t>现有工程</w:t>
                  </w:r>
                </w:p>
              </w:tc>
              <w:tc>
                <w:tcPr>
                  <w:tcW w:w="2865"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技改</w:t>
                  </w:r>
                  <w:r>
                    <w:rPr>
                      <w:rFonts w:hint="default" w:ascii="Times New Roman" w:hAnsi="Times New Roman" w:cs="Times New Roman"/>
                      <w:color w:val="auto"/>
                      <w:sz w:val="21"/>
                      <w:szCs w:val="21"/>
                      <w:highlight w:val="none"/>
                    </w:rPr>
                    <w:t>项目</w:t>
                  </w:r>
                </w:p>
              </w:tc>
              <w:tc>
                <w:tcPr>
                  <w:tcW w:w="304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sz w:val="21"/>
                      <w:szCs w:val="21"/>
                      <w:highlight w:val="none"/>
                      <w:lang w:eastAsia="zh-CN"/>
                    </w:rPr>
                  </w:pPr>
                  <w:r>
                    <w:rPr>
                      <w:rFonts w:hint="eastAsia" w:cs="Times New Roman"/>
                      <w:color w:val="auto"/>
                      <w:sz w:val="21"/>
                      <w:szCs w:val="21"/>
                      <w:highlight w:val="none"/>
                      <w:lang w:eastAsia="zh-CN"/>
                    </w:rPr>
                    <w:t>技改</w:t>
                  </w:r>
                  <w:r>
                    <w:rPr>
                      <w:rFonts w:hint="default" w:ascii="Times New Roman" w:hAnsi="Times New Roman" w:cs="Times New Roman"/>
                      <w:color w:val="auto"/>
                      <w:sz w:val="21"/>
                      <w:szCs w:val="21"/>
                      <w:highlight w:val="none"/>
                    </w:rPr>
                    <w:t>项目建设后</w:t>
                  </w:r>
                  <w:r>
                    <w:rPr>
                      <w:rFonts w:hint="default" w:ascii="Times New Roman" w:hAnsi="Times New Roman" w:cs="Times New Roman"/>
                      <w:color w:val="auto"/>
                      <w:sz w:val="21"/>
                      <w:szCs w:val="21"/>
                      <w:highlight w:val="none"/>
                      <w:lang w:eastAsia="zh-CN"/>
                    </w:rPr>
                    <w:t>全厂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12" w:type="dxa"/>
                  <w:gridSpan w:val="2"/>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w:t>
                  </w:r>
                </w:p>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体</w:t>
                  </w:r>
                </w:p>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w:t>
                  </w:r>
                </w:p>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程</w:t>
                  </w:r>
                </w:p>
              </w:tc>
              <w:tc>
                <w:tcPr>
                  <w:tcW w:w="233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生产车间1座：用于原料、生产设备的布置、成品的储存</w:t>
                  </w:r>
                </w:p>
              </w:tc>
              <w:tc>
                <w:tcPr>
                  <w:tcW w:w="2865" w:type="dxa"/>
                  <w:tcBorders>
                    <w:tl2br w:val="nil"/>
                    <w:tr2bl w:val="nil"/>
                  </w:tcBorders>
                  <w:noWrap w:val="0"/>
                  <w:vAlign w:val="center"/>
                </w:tcPr>
                <w:p>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依托现有车间，不新增建构筑物</w:t>
                  </w:r>
                </w:p>
              </w:tc>
              <w:tc>
                <w:tcPr>
                  <w:tcW w:w="3044" w:type="dxa"/>
                  <w:tcBorders>
                    <w:tl2br w:val="nil"/>
                    <w:tr2bl w:val="nil"/>
                  </w:tcBorders>
                  <w:noWrap w:val="0"/>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生产车间1座：用于原料、生产设备的布置、成品的储存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2" w:type="dxa"/>
                  <w:gridSpan w:val="2"/>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辅助</w:t>
                  </w:r>
                </w:p>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工程</w:t>
                  </w:r>
                </w:p>
              </w:tc>
              <w:tc>
                <w:tcPr>
                  <w:tcW w:w="2334" w:type="dxa"/>
                  <w:tcBorders>
                    <w:tl2br w:val="nil"/>
                    <w:tr2bl w:val="nil"/>
                  </w:tcBorders>
                  <w:noWrap w:val="0"/>
                  <w:vAlign w:val="center"/>
                </w:tcPr>
                <w:p>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eastAsia="zh-CN"/>
                    </w:rPr>
                    <w:t>办公室</w:t>
                  </w:r>
                  <w:r>
                    <w:rPr>
                      <w:rFonts w:hint="default" w:ascii="Times New Roman" w:hAnsi="Times New Roman" w:cs="Times New Roman"/>
                      <w:color w:val="auto"/>
                      <w:sz w:val="21"/>
                      <w:szCs w:val="21"/>
                      <w:highlight w:val="none"/>
                      <w:lang w:val="en-US" w:eastAsia="zh-CN"/>
                    </w:rPr>
                    <w:t>1座</w:t>
                  </w:r>
                </w:p>
              </w:tc>
              <w:tc>
                <w:tcPr>
                  <w:tcW w:w="2865" w:type="dxa"/>
                  <w:tcBorders>
                    <w:tl2br w:val="nil"/>
                    <w:tr2bl w:val="nil"/>
                  </w:tcBorders>
                  <w:noWrap w:val="0"/>
                  <w:vAlign w:val="center"/>
                </w:tcPr>
                <w:p>
                  <w:pPr>
                    <w:jc w:val="center"/>
                    <w:rPr>
                      <w:rFonts w:hint="default" w:ascii="Times New Roman" w:hAnsi="Times New Roman" w:cs="Times New Roman" w:eastAsiaTheme="minorEastAsia"/>
                      <w:color w:val="auto"/>
                      <w:sz w:val="21"/>
                      <w:szCs w:val="21"/>
                      <w:highlight w:val="none"/>
                      <w:lang w:eastAsia="zh-CN"/>
                    </w:rPr>
                  </w:pPr>
                  <w:r>
                    <w:rPr>
                      <w:rFonts w:hint="eastAsia" w:cs="Times New Roman"/>
                      <w:color w:val="auto"/>
                      <w:sz w:val="21"/>
                      <w:szCs w:val="21"/>
                      <w:highlight w:val="none"/>
                      <w:lang w:val="en-US" w:eastAsia="zh-CN"/>
                    </w:rPr>
                    <w:t>依托现有</w:t>
                  </w:r>
                </w:p>
              </w:tc>
              <w:tc>
                <w:tcPr>
                  <w:tcW w:w="3044"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办公室</w:t>
                  </w:r>
                  <w:r>
                    <w:rPr>
                      <w:rFonts w:hint="default" w:ascii="Times New Roman" w:hAnsi="Times New Roman" w:cs="Times New Roman"/>
                      <w:color w:val="auto"/>
                      <w:sz w:val="21"/>
                      <w:szCs w:val="21"/>
                      <w:highlight w:val="none"/>
                      <w:lang w:val="en-US" w:eastAsia="zh-CN"/>
                    </w:rPr>
                    <w:t>1座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4" w:type="dxa"/>
                  <w:vMerge w:val="restart"/>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公用工程</w:t>
                  </w:r>
                </w:p>
              </w:tc>
              <w:tc>
                <w:tcPr>
                  <w:tcW w:w="468"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供电</w:t>
                  </w:r>
                </w:p>
              </w:tc>
              <w:tc>
                <w:tcPr>
                  <w:tcW w:w="2334" w:type="dxa"/>
                  <w:tcBorders>
                    <w:tl2br w:val="nil"/>
                    <w:tr2bl w:val="nil"/>
                  </w:tcBorders>
                  <w:noWrap w:val="0"/>
                  <w:vAlign w:val="center"/>
                </w:tcPr>
                <w:p>
                  <w:pPr>
                    <w:widowControl/>
                    <w:snapToGrid w:val="0"/>
                    <w:jc w:val="center"/>
                    <w:rPr>
                      <w:rFonts w:hint="default" w:ascii="Times New Roman" w:hAnsi="Times New Roman" w:cs="Times New Roman"/>
                      <w:color w:val="auto"/>
                      <w:sz w:val="21"/>
                      <w:szCs w:val="21"/>
                      <w:highlight w:val="none"/>
                    </w:rPr>
                  </w:pPr>
                  <w:r>
                    <w:rPr>
                      <w:rFonts w:hint="eastAsia" w:cs="Times New Roman"/>
                      <w:color w:val="auto"/>
                      <w:kern w:val="0"/>
                      <w:szCs w:val="21"/>
                      <w:highlight w:val="none"/>
                      <w:lang w:val="en-US" w:eastAsia="zh-CN"/>
                    </w:rPr>
                    <w:t>河北迁安经济开发区供电管网统一提供</w:t>
                  </w:r>
                </w:p>
              </w:tc>
              <w:tc>
                <w:tcPr>
                  <w:tcW w:w="2865" w:type="dxa"/>
                  <w:tcBorders>
                    <w:tl2br w:val="nil"/>
                    <w:tr2bl w:val="nil"/>
                  </w:tcBorders>
                  <w:noWrap w:val="0"/>
                  <w:vAlign w:val="center"/>
                </w:tcPr>
                <w:p>
                  <w:pPr>
                    <w:adjustRightInd w:val="0"/>
                    <w:snapToGrid w:val="0"/>
                    <w:jc w:val="center"/>
                    <w:rPr>
                      <w:rFonts w:hint="eastAsia" w:ascii="Times New Roman" w:hAnsi="Times New Roman" w:cs="Times New Roman" w:eastAsiaTheme="minorEastAsia"/>
                      <w:color w:val="auto"/>
                      <w:sz w:val="21"/>
                      <w:szCs w:val="21"/>
                      <w:highlight w:val="none"/>
                      <w:lang w:eastAsia="zh-CN"/>
                    </w:rPr>
                  </w:pPr>
                  <w:r>
                    <w:rPr>
                      <w:rFonts w:hint="eastAsia" w:cs="Times New Roman"/>
                      <w:color w:val="auto"/>
                      <w:sz w:val="21"/>
                      <w:szCs w:val="21"/>
                      <w:highlight w:val="none"/>
                      <w:lang w:val="en-US" w:eastAsia="zh-CN"/>
                    </w:rPr>
                    <w:t>依托现有</w:t>
                  </w:r>
                </w:p>
              </w:tc>
              <w:tc>
                <w:tcPr>
                  <w:tcW w:w="3044" w:type="dxa"/>
                  <w:tcBorders>
                    <w:tl2br w:val="nil"/>
                    <w:tr2bl w:val="nil"/>
                  </w:tcBorders>
                  <w:noWrap w:val="0"/>
                  <w:vAlign w:val="center"/>
                </w:tcPr>
                <w:p>
                  <w:pPr>
                    <w:widowControl/>
                    <w:snapToGrid w:val="0"/>
                    <w:jc w:val="center"/>
                    <w:rPr>
                      <w:rFonts w:hint="default" w:ascii="Times New Roman" w:hAnsi="Times New Roman" w:cs="Times New Roman"/>
                      <w:color w:val="auto"/>
                      <w:sz w:val="21"/>
                      <w:szCs w:val="21"/>
                      <w:highlight w:val="none"/>
                    </w:rPr>
                  </w:pPr>
                  <w:r>
                    <w:rPr>
                      <w:rFonts w:hint="eastAsia" w:cs="Times New Roman"/>
                      <w:color w:val="auto"/>
                      <w:kern w:val="0"/>
                      <w:szCs w:val="21"/>
                      <w:highlight w:val="none"/>
                      <w:lang w:val="en-US" w:eastAsia="zh-CN"/>
                    </w:rPr>
                    <w:t>河北迁安经济开发区供电管网统一提供</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4" w:type="dxa"/>
                  <w:vMerge w:val="continue"/>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p>
              </w:tc>
              <w:tc>
                <w:tcPr>
                  <w:tcW w:w="468"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供水</w:t>
                  </w:r>
                </w:p>
              </w:tc>
              <w:tc>
                <w:tcPr>
                  <w:tcW w:w="2334" w:type="dxa"/>
                  <w:tcBorders>
                    <w:tl2br w:val="nil"/>
                    <w:tr2bl w:val="nil"/>
                  </w:tcBorders>
                  <w:noWrap w:val="0"/>
                  <w:vAlign w:val="center"/>
                </w:tcPr>
                <w:p>
                  <w:pPr>
                    <w:widowControl/>
                    <w:snapToGrid w:val="0"/>
                    <w:jc w:val="center"/>
                    <w:rPr>
                      <w:rFonts w:hint="default" w:ascii="Times New Roman" w:hAnsi="Times New Roman" w:cs="Times New Roman" w:eastAsiaTheme="minorEastAsia"/>
                      <w:color w:val="auto"/>
                      <w:sz w:val="21"/>
                      <w:szCs w:val="21"/>
                      <w:highlight w:val="none"/>
                      <w:lang w:eastAsia="zh-CN"/>
                    </w:rPr>
                  </w:pPr>
                  <w:r>
                    <w:rPr>
                      <w:rFonts w:hint="eastAsia" w:cs="Times New Roman"/>
                      <w:color w:val="auto"/>
                      <w:kern w:val="0"/>
                      <w:szCs w:val="21"/>
                      <w:highlight w:val="none"/>
                      <w:lang w:val="en-US" w:eastAsia="zh-CN"/>
                    </w:rPr>
                    <w:t>河北迁安经济开发区供水管网统一提供</w:t>
                  </w:r>
                </w:p>
              </w:tc>
              <w:tc>
                <w:tcPr>
                  <w:tcW w:w="2865" w:type="dxa"/>
                  <w:tcBorders>
                    <w:tl2br w:val="nil"/>
                    <w:tr2bl w:val="nil"/>
                  </w:tcBorders>
                  <w:noWrap w:val="0"/>
                  <w:vAlign w:val="center"/>
                </w:tcPr>
                <w:p>
                  <w:pPr>
                    <w:adjustRightInd w:val="0"/>
                    <w:snapToGrid w:val="0"/>
                    <w:jc w:val="center"/>
                    <w:rPr>
                      <w:rFonts w:hint="eastAsia" w:ascii="Times New Roman" w:hAnsi="Times New Roman" w:cs="Times New Roman" w:eastAsiaTheme="minorEastAsia"/>
                      <w:color w:val="auto"/>
                      <w:sz w:val="21"/>
                      <w:szCs w:val="21"/>
                      <w:highlight w:val="none"/>
                      <w:lang w:eastAsia="zh-CN"/>
                    </w:rPr>
                  </w:pPr>
                  <w:r>
                    <w:rPr>
                      <w:rFonts w:hint="eastAsia" w:cs="Times New Roman"/>
                      <w:color w:val="auto"/>
                      <w:sz w:val="21"/>
                      <w:szCs w:val="21"/>
                      <w:highlight w:val="none"/>
                      <w:lang w:val="en-US" w:eastAsia="zh-CN"/>
                    </w:rPr>
                    <w:t>依托现有</w:t>
                  </w:r>
                </w:p>
              </w:tc>
              <w:tc>
                <w:tcPr>
                  <w:tcW w:w="3044" w:type="dxa"/>
                  <w:tcBorders>
                    <w:tl2br w:val="nil"/>
                    <w:tr2bl w:val="nil"/>
                  </w:tcBorders>
                  <w:noWrap w:val="0"/>
                  <w:vAlign w:val="center"/>
                </w:tcPr>
                <w:p>
                  <w:pPr>
                    <w:widowControl/>
                    <w:snapToGrid w:val="0"/>
                    <w:jc w:val="center"/>
                    <w:rPr>
                      <w:rFonts w:hint="default" w:ascii="Times New Roman" w:hAnsi="Times New Roman" w:cs="Times New Roman"/>
                      <w:color w:val="auto"/>
                      <w:sz w:val="21"/>
                      <w:szCs w:val="21"/>
                      <w:highlight w:val="none"/>
                    </w:rPr>
                  </w:pPr>
                  <w:r>
                    <w:rPr>
                      <w:rFonts w:hint="eastAsia" w:cs="Times New Roman"/>
                      <w:color w:val="auto"/>
                      <w:kern w:val="0"/>
                      <w:szCs w:val="21"/>
                      <w:highlight w:val="none"/>
                      <w:lang w:val="en-US" w:eastAsia="zh-CN"/>
                    </w:rPr>
                    <w:t>河北迁安经济开发区供水管网统一提供</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444" w:type="dxa"/>
                  <w:vMerge w:val="continue"/>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p>
              </w:tc>
              <w:tc>
                <w:tcPr>
                  <w:tcW w:w="468"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sz w:val="21"/>
                      <w:szCs w:val="21"/>
                      <w:highlight w:val="none"/>
                      <w:lang w:eastAsia="zh-CN"/>
                    </w:rPr>
                  </w:pPr>
                  <w:r>
                    <w:rPr>
                      <w:rFonts w:hint="default" w:ascii="Times New Roman" w:hAnsi="Times New Roman" w:cs="Times New Roman"/>
                      <w:color w:val="auto"/>
                      <w:sz w:val="21"/>
                      <w:szCs w:val="21"/>
                      <w:highlight w:val="none"/>
                      <w:lang w:eastAsia="zh-CN"/>
                    </w:rPr>
                    <w:t>供热</w:t>
                  </w:r>
                </w:p>
              </w:tc>
              <w:tc>
                <w:tcPr>
                  <w:tcW w:w="233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eastAsia="zh-CN"/>
                    </w:rPr>
                    <w:t>生产</w:t>
                  </w:r>
                  <w:r>
                    <w:rPr>
                      <w:rFonts w:hint="eastAsia" w:cs="Times New Roman"/>
                      <w:color w:val="auto"/>
                      <w:sz w:val="21"/>
                      <w:szCs w:val="21"/>
                      <w:highlight w:val="none"/>
                      <w:lang w:eastAsia="zh-CN"/>
                    </w:rPr>
                    <w:t>过程不</w:t>
                  </w:r>
                  <w:r>
                    <w:rPr>
                      <w:rFonts w:hint="default" w:ascii="Times New Roman" w:hAnsi="Times New Roman" w:cs="Times New Roman"/>
                      <w:color w:val="auto"/>
                      <w:sz w:val="21"/>
                      <w:szCs w:val="21"/>
                      <w:highlight w:val="none"/>
                      <w:lang w:eastAsia="zh-CN"/>
                    </w:rPr>
                    <w:t>用热；生活用热使用空调</w:t>
                  </w:r>
                </w:p>
              </w:tc>
              <w:tc>
                <w:tcPr>
                  <w:tcW w:w="2865"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sz w:val="21"/>
                      <w:szCs w:val="21"/>
                      <w:highlight w:val="none"/>
                      <w:lang w:eastAsia="zh-CN"/>
                    </w:rPr>
                  </w:pPr>
                  <w:r>
                    <w:rPr>
                      <w:rFonts w:hint="eastAsia" w:cs="Times New Roman"/>
                      <w:color w:val="auto"/>
                      <w:sz w:val="21"/>
                      <w:szCs w:val="21"/>
                      <w:highlight w:val="none"/>
                      <w:lang w:eastAsia="zh-CN"/>
                    </w:rPr>
                    <w:t>生产用热为电加热；</w:t>
                  </w:r>
                  <w:r>
                    <w:rPr>
                      <w:rFonts w:hint="default" w:ascii="Times New Roman" w:hAnsi="Times New Roman" w:cs="Times New Roman"/>
                      <w:color w:val="auto"/>
                      <w:sz w:val="21"/>
                      <w:szCs w:val="21"/>
                      <w:highlight w:val="none"/>
                      <w:lang w:eastAsia="zh-CN"/>
                    </w:rPr>
                    <w:t>生活用热</w:t>
                  </w:r>
                  <w:r>
                    <w:rPr>
                      <w:rFonts w:hint="eastAsia" w:cs="Times New Roman"/>
                      <w:color w:val="auto"/>
                      <w:sz w:val="21"/>
                      <w:szCs w:val="21"/>
                      <w:highlight w:val="none"/>
                      <w:lang w:val="en-US" w:eastAsia="zh-CN"/>
                    </w:rPr>
                    <w:t>依托现有</w:t>
                  </w:r>
                </w:p>
              </w:tc>
              <w:tc>
                <w:tcPr>
                  <w:tcW w:w="3044"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生产</w:t>
                  </w:r>
                  <w:r>
                    <w:rPr>
                      <w:rFonts w:hint="eastAsia" w:cs="Times New Roman"/>
                      <w:color w:val="auto"/>
                      <w:sz w:val="21"/>
                      <w:szCs w:val="21"/>
                      <w:highlight w:val="none"/>
                      <w:lang w:eastAsia="zh-CN"/>
                    </w:rPr>
                    <w:t>过程不</w:t>
                  </w:r>
                  <w:r>
                    <w:rPr>
                      <w:rFonts w:hint="default" w:ascii="Times New Roman" w:hAnsi="Times New Roman" w:cs="Times New Roman"/>
                      <w:color w:val="auto"/>
                      <w:sz w:val="21"/>
                      <w:szCs w:val="21"/>
                      <w:highlight w:val="none"/>
                      <w:lang w:eastAsia="zh-CN"/>
                    </w:rPr>
                    <w:t>用热；生活用热使用空调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4" w:type="dxa"/>
                  <w:vMerge w:val="restart"/>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w:t>
                  </w:r>
                </w:p>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保</w:t>
                  </w:r>
                </w:p>
                <w:p>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w:t>
                  </w:r>
                </w:p>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程</w:t>
                  </w:r>
                </w:p>
              </w:tc>
              <w:tc>
                <w:tcPr>
                  <w:tcW w:w="468"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废气</w:t>
                  </w:r>
                </w:p>
              </w:tc>
              <w:tc>
                <w:tcPr>
                  <w:tcW w:w="233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color w:val="auto"/>
                      <w:sz w:val="21"/>
                      <w:szCs w:val="21"/>
                      <w:highlight w:val="none"/>
                      <w:lang w:eastAsia="zh-CN"/>
                    </w:rPr>
                    <w:t>焊接于封闭厂房内进行，焊接烟尘采用焊接烟尘净化器处理后无组织排放</w:t>
                  </w:r>
                </w:p>
              </w:tc>
              <w:tc>
                <w:tcPr>
                  <w:tcW w:w="2865"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新增</w:t>
                  </w:r>
                  <w:r>
                    <w:rPr>
                      <w:rFonts w:hint="eastAsia" w:cs="Times New Roman"/>
                      <w:color w:val="auto"/>
                      <w:sz w:val="21"/>
                      <w:szCs w:val="21"/>
                      <w:highlight w:val="none"/>
                      <w:lang w:val="en-US" w:eastAsia="zh-CN"/>
                    </w:rPr>
                    <w:t>1台脉冲布袋除尘器用于处理数控火焰切割机废气</w:t>
                  </w:r>
                </w:p>
              </w:tc>
              <w:tc>
                <w:tcPr>
                  <w:tcW w:w="304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b/>
                      <w:color w:val="auto"/>
                      <w:kern w:val="2"/>
                      <w:sz w:val="21"/>
                      <w:szCs w:val="21"/>
                      <w:highlight w:val="none"/>
                      <w:lang w:val="en-US" w:eastAsia="zh-CN" w:bidi="ar-SA"/>
                    </w:rPr>
                  </w:pPr>
                  <w:r>
                    <w:rPr>
                      <w:rFonts w:hint="eastAsia" w:cs="Times New Roman"/>
                      <w:color w:val="auto"/>
                      <w:sz w:val="21"/>
                      <w:szCs w:val="21"/>
                      <w:highlight w:val="none"/>
                      <w:lang w:eastAsia="zh-CN"/>
                    </w:rPr>
                    <w:t>焊接于封闭厂房内进行，焊接烟尘采用焊接烟尘净化器处理后无组织排放</w:t>
                  </w:r>
                  <w:r>
                    <w:rPr>
                      <w:rFonts w:hint="eastAsia" w:cs="Times New Roman"/>
                      <w:color w:val="auto"/>
                      <w:sz w:val="21"/>
                      <w:szCs w:val="21"/>
                      <w:highlight w:val="none"/>
                      <w:lang w:val="en-US" w:eastAsia="zh-CN"/>
                    </w:rPr>
                    <w:t>；数控火焰切割机废气设置1套脉冲</w:t>
                  </w:r>
                  <w:r>
                    <w:rPr>
                      <w:rFonts w:hint="default" w:ascii="Times New Roman" w:hAnsi="Times New Roman" w:cs="Times New Roman"/>
                      <w:color w:val="auto"/>
                      <w:sz w:val="21"/>
                      <w:szCs w:val="21"/>
                      <w:highlight w:val="none"/>
                      <w:lang w:eastAsia="zh-CN"/>
                    </w:rPr>
                    <w:t>布袋除尘器</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1根15m高</w:t>
                  </w:r>
                  <w:r>
                    <w:rPr>
                      <w:rFonts w:hint="default" w:ascii="Times New Roman" w:hAnsi="Times New Roman" w:cs="Times New Roman"/>
                      <w:color w:val="auto"/>
                      <w:sz w:val="21"/>
                      <w:szCs w:val="21"/>
                      <w:highlight w:val="none"/>
                      <w:lang w:val="en-US" w:eastAsia="zh-CN"/>
                    </w:rPr>
                    <w:t>排气筒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4" w:type="dxa"/>
                  <w:vMerge w:val="continue"/>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p>
              </w:tc>
              <w:tc>
                <w:tcPr>
                  <w:tcW w:w="468"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废水</w:t>
                  </w:r>
                </w:p>
              </w:tc>
              <w:tc>
                <w:tcPr>
                  <w:tcW w:w="233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color w:val="auto"/>
                      <w:sz w:val="21"/>
                      <w:szCs w:val="21"/>
                      <w:highlight w:val="none"/>
                      <w:lang w:eastAsia="zh-CN"/>
                    </w:rPr>
                    <w:t>无</w:t>
                  </w:r>
                  <w:r>
                    <w:rPr>
                      <w:rFonts w:hint="default" w:ascii="Times New Roman" w:hAnsi="Times New Roman" w:cs="Times New Roman"/>
                      <w:color w:val="auto"/>
                      <w:sz w:val="21"/>
                      <w:szCs w:val="21"/>
                      <w:highlight w:val="none"/>
                      <w:lang w:eastAsia="zh-CN"/>
                    </w:rPr>
                    <w:t>生产</w:t>
                  </w:r>
                  <w:r>
                    <w:rPr>
                      <w:rFonts w:hint="eastAsia" w:cs="Times New Roman"/>
                      <w:color w:val="auto"/>
                      <w:sz w:val="21"/>
                      <w:szCs w:val="21"/>
                      <w:highlight w:val="none"/>
                      <w:lang w:eastAsia="zh-CN"/>
                    </w:rPr>
                    <w:t>废水；</w:t>
                  </w:r>
                  <w:r>
                    <w:rPr>
                      <w:rFonts w:hint="default" w:ascii="Times New Roman" w:hAnsi="Times New Roman" w:cs="Times New Roman"/>
                      <w:color w:val="auto"/>
                      <w:sz w:val="21"/>
                      <w:szCs w:val="21"/>
                      <w:highlight w:val="none"/>
                      <w:lang w:eastAsia="zh-CN"/>
                    </w:rPr>
                    <w:t>生活污水</w:t>
                  </w:r>
                  <w:r>
                    <w:rPr>
                      <w:rFonts w:hint="eastAsia" w:cs="Times New Roman"/>
                      <w:color w:val="auto"/>
                      <w:sz w:val="21"/>
                      <w:szCs w:val="21"/>
                      <w:highlight w:val="none"/>
                      <w:lang w:eastAsia="zh-CN"/>
                    </w:rPr>
                    <w:t>排入开发区污水管网，最终由迁安市大西区建设开发有限公司污水处理厂处理</w:t>
                  </w:r>
                </w:p>
              </w:tc>
              <w:tc>
                <w:tcPr>
                  <w:tcW w:w="2865" w:type="dxa"/>
                  <w:tcBorders>
                    <w:tl2br w:val="nil"/>
                    <w:tr2bl w:val="nil"/>
                  </w:tcBorders>
                  <w:noWrap w:val="0"/>
                  <w:vAlign w:val="center"/>
                </w:tcPr>
                <w:p>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技改项目不新增劳动定员，无新增生活污水</w:t>
                  </w:r>
                </w:p>
              </w:tc>
              <w:tc>
                <w:tcPr>
                  <w:tcW w:w="304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b/>
                      <w:color w:val="auto"/>
                      <w:kern w:val="2"/>
                      <w:sz w:val="21"/>
                      <w:szCs w:val="21"/>
                      <w:highlight w:val="none"/>
                      <w:lang w:val="en-US" w:eastAsia="zh-CN" w:bidi="ar-SA"/>
                    </w:rPr>
                  </w:pPr>
                  <w:r>
                    <w:rPr>
                      <w:rFonts w:hint="eastAsia" w:cs="Times New Roman"/>
                      <w:color w:val="auto"/>
                      <w:sz w:val="21"/>
                      <w:szCs w:val="21"/>
                      <w:highlight w:val="none"/>
                      <w:lang w:eastAsia="zh-CN"/>
                    </w:rPr>
                    <w:t>无</w:t>
                  </w:r>
                  <w:r>
                    <w:rPr>
                      <w:rFonts w:hint="default" w:ascii="Times New Roman" w:hAnsi="Times New Roman" w:cs="Times New Roman"/>
                      <w:color w:val="auto"/>
                      <w:sz w:val="21"/>
                      <w:szCs w:val="21"/>
                      <w:highlight w:val="none"/>
                      <w:lang w:eastAsia="zh-CN"/>
                    </w:rPr>
                    <w:t>生产</w:t>
                  </w:r>
                  <w:r>
                    <w:rPr>
                      <w:rFonts w:hint="eastAsia" w:cs="Times New Roman"/>
                      <w:color w:val="auto"/>
                      <w:sz w:val="21"/>
                      <w:szCs w:val="21"/>
                      <w:highlight w:val="none"/>
                      <w:lang w:eastAsia="zh-CN"/>
                    </w:rPr>
                    <w:t>废水；</w:t>
                  </w:r>
                  <w:r>
                    <w:rPr>
                      <w:rFonts w:hint="default" w:ascii="Times New Roman" w:hAnsi="Times New Roman" w:cs="Times New Roman"/>
                      <w:color w:val="auto"/>
                      <w:sz w:val="21"/>
                      <w:szCs w:val="21"/>
                      <w:highlight w:val="none"/>
                      <w:lang w:eastAsia="zh-CN"/>
                    </w:rPr>
                    <w:t>生活污水</w:t>
                  </w:r>
                  <w:r>
                    <w:rPr>
                      <w:rFonts w:hint="eastAsia" w:cs="Times New Roman"/>
                      <w:color w:val="auto"/>
                      <w:sz w:val="21"/>
                      <w:szCs w:val="21"/>
                      <w:highlight w:val="none"/>
                      <w:lang w:eastAsia="zh-CN"/>
                    </w:rPr>
                    <w:t>排入开发区污水管网，最终由迁安市大西区建设开发有限公司污水处理厂处理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4" w:type="dxa"/>
                  <w:vMerge w:val="continue"/>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p>
              </w:tc>
              <w:tc>
                <w:tcPr>
                  <w:tcW w:w="468"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噪声</w:t>
                  </w:r>
                </w:p>
              </w:tc>
              <w:tc>
                <w:tcPr>
                  <w:tcW w:w="233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厂房隔声，基础减振</w:t>
                  </w:r>
                </w:p>
              </w:tc>
              <w:tc>
                <w:tcPr>
                  <w:tcW w:w="2865"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厂房隔声，基础减振</w:t>
                  </w:r>
                </w:p>
              </w:tc>
              <w:tc>
                <w:tcPr>
                  <w:tcW w:w="3044" w:type="dxa"/>
                  <w:tcBorders>
                    <w:tl2br w:val="nil"/>
                    <w:tr2bl w:val="nil"/>
                  </w:tcBorders>
                  <w:noWrap w:val="0"/>
                  <w:vAlign w:val="center"/>
                </w:tcPr>
                <w:p>
                  <w:pPr>
                    <w:adjustRightInd w:val="0"/>
                    <w:snapToGrid w:val="0"/>
                    <w:jc w:val="center"/>
                    <w:rPr>
                      <w:rFonts w:hint="default" w:ascii="Times New Roman" w:hAnsi="Times New Roman" w:cs="Times New Roman" w:eastAsiaTheme="minorEastAsia"/>
                      <w:b/>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厂房隔声，基础减振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4" w:type="dxa"/>
                  <w:vMerge w:val="continue"/>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rPr>
                  </w:pPr>
                </w:p>
              </w:tc>
              <w:tc>
                <w:tcPr>
                  <w:tcW w:w="468"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固废</w:t>
                  </w:r>
                </w:p>
              </w:tc>
              <w:tc>
                <w:tcPr>
                  <w:tcW w:w="2334"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lang w:eastAsia="zh-CN"/>
                    </w:rPr>
                  </w:pPr>
                  <w:r>
                    <w:rPr>
                      <w:rFonts w:hint="eastAsia" w:cs="Times New Roman"/>
                      <w:color w:val="auto"/>
                      <w:sz w:val="21"/>
                      <w:szCs w:val="21"/>
                      <w:highlight w:val="none"/>
                      <w:lang w:eastAsia="zh-CN"/>
                    </w:rPr>
                    <w:t>废钢边角料收集后外售；含油金属屑分离废油后外售；废润滑油、废液压油、废切削液、废包装桶暂存于危废暂存间后，定期交由有资质的单位处理；</w:t>
                  </w:r>
                  <w:r>
                    <w:rPr>
                      <w:rFonts w:hint="default" w:ascii="Times New Roman" w:hAnsi="Times New Roman" w:cs="Times New Roman"/>
                      <w:color w:val="auto"/>
                      <w:sz w:val="21"/>
                      <w:szCs w:val="21"/>
                      <w:highlight w:val="none"/>
                      <w:lang w:eastAsia="zh-CN"/>
                    </w:rPr>
                    <w:t>生活垃圾环卫部门统一处理。</w:t>
                  </w:r>
                </w:p>
              </w:tc>
              <w:tc>
                <w:tcPr>
                  <w:tcW w:w="2865"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eastAsia="zh-CN"/>
                    </w:rPr>
                    <w:t>新增下脚料收集后外售；新增含油金属屑</w:t>
                  </w:r>
                  <w:r>
                    <w:rPr>
                      <w:rFonts w:hint="eastAsia"/>
                      <w:color w:val="auto"/>
                      <w:highlight w:val="none"/>
                    </w:rPr>
                    <w:t>单独收集后放入离心分离设备内，在离心力的作用下，将金属屑与</w:t>
                  </w:r>
                  <w:r>
                    <w:rPr>
                      <w:rFonts w:hint="eastAsia"/>
                      <w:color w:val="auto"/>
                      <w:highlight w:val="none"/>
                      <w:lang w:eastAsia="zh-CN"/>
                    </w:rPr>
                    <w:t>废</w:t>
                  </w:r>
                  <w:r>
                    <w:rPr>
                      <w:rFonts w:hint="eastAsia"/>
                      <w:color w:val="auto"/>
                      <w:highlight w:val="none"/>
                    </w:rPr>
                    <w:t>切削液分开，离</w:t>
                  </w:r>
                  <w:r>
                    <w:rPr>
                      <w:rFonts w:hint="eastAsia"/>
                      <w:color w:val="auto"/>
                      <w:highlight w:val="none"/>
                      <w:lang w:eastAsia="zh-CN"/>
                    </w:rPr>
                    <w:t>心</w:t>
                  </w:r>
                  <w:r>
                    <w:rPr>
                      <w:rFonts w:hint="eastAsia"/>
                      <w:color w:val="auto"/>
                      <w:highlight w:val="none"/>
                    </w:rPr>
                    <w:t>设备收集桶内收集的废切削液倒入回收桶内，加盖储存，可重新回用于生产，</w:t>
                  </w:r>
                  <w:r>
                    <w:rPr>
                      <w:rFonts w:hint="eastAsia"/>
                      <w:color w:val="auto"/>
                      <w:highlight w:val="none"/>
                      <w:lang w:eastAsia="zh-CN"/>
                    </w:rPr>
                    <w:t>定期更换；</w:t>
                  </w:r>
                  <w:r>
                    <w:rPr>
                      <w:rFonts w:hint="eastAsia"/>
                      <w:color w:val="auto"/>
                      <w:highlight w:val="none"/>
                    </w:rPr>
                    <w:t>离心后的废金属屑袋装收集储存不落地</w:t>
                  </w:r>
                  <w:r>
                    <w:rPr>
                      <w:rFonts w:hint="eastAsia"/>
                      <w:color w:val="auto"/>
                      <w:highlight w:val="none"/>
                      <w:lang w:eastAsia="zh-CN"/>
                    </w:rPr>
                    <w:t>，集中收集后外售</w:t>
                  </w:r>
                  <w:r>
                    <w:rPr>
                      <w:rFonts w:hint="eastAsia" w:ascii="黑体" w:hAnsi="黑体" w:eastAsia="黑体" w:cs="黑体"/>
                      <w:color w:val="auto"/>
                      <w:sz w:val="21"/>
                      <w:szCs w:val="21"/>
                      <w:highlight w:val="none"/>
                      <w:lang w:eastAsia="zh-CN"/>
                    </w:rPr>
                    <w:t>；</w:t>
                  </w:r>
                  <w:r>
                    <w:rPr>
                      <w:rFonts w:hint="eastAsia" w:cs="Times New Roman"/>
                      <w:color w:val="auto"/>
                      <w:sz w:val="21"/>
                      <w:szCs w:val="21"/>
                      <w:highlight w:val="none"/>
                      <w:lang w:eastAsia="zh-CN"/>
                    </w:rPr>
                    <w:t>新增废切削液、废润滑油、废液压油、废包装桶、含油废手套废抹布等依托现有危废暂存间暂存，定期委托有资质单位处置；无新增生活垃圾。</w:t>
                  </w:r>
                </w:p>
              </w:tc>
              <w:tc>
                <w:tcPr>
                  <w:tcW w:w="3044"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highlight w:val="none"/>
                      <w:lang w:eastAsia="zh-CN"/>
                    </w:rPr>
                  </w:pPr>
                  <w:r>
                    <w:rPr>
                      <w:rFonts w:hint="eastAsia" w:cs="Times New Roman"/>
                      <w:color w:val="auto"/>
                      <w:sz w:val="21"/>
                      <w:szCs w:val="21"/>
                      <w:highlight w:val="none"/>
                      <w:lang w:eastAsia="zh-CN"/>
                    </w:rPr>
                    <w:t>废钢边角料收集后外售；</w:t>
                  </w:r>
                  <w:r>
                    <w:rPr>
                      <w:rFonts w:hint="eastAsia"/>
                      <w:color w:val="auto"/>
                      <w:highlight w:val="none"/>
                    </w:rPr>
                    <w:t>含</w:t>
                  </w:r>
                  <w:r>
                    <w:rPr>
                      <w:rFonts w:hint="eastAsia"/>
                      <w:color w:val="auto"/>
                      <w:highlight w:val="none"/>
                      <w:lang w:eastAsia="zh-CN"/>
                    </w:rPr>
                    <w:t>油</w:t>
                  </w:r>
                  <w:r>
                    <w:rPr>
                      <w:rFonts w:hint="eastAsia"/>
                      <w:color w:val="auto"/>
                      <w:highlight w:val="none"/>
                    </w:rPr>
                    <w:t>金属屑单独收集后放入离心分离设备内，在离心力的作用下，将金属屑与</w:t>
                  </w:r>
                  <w:r>
                    <w:rPr>
                      <w:rFonts w:hint="eastAsia"/>
                      <w:color w:val="auto"/>
                      <w:highlight w:val="none"/>
                      <w:lang w:eastAsia="zh-CN"/>
                    </w:rPr>
                    <w:t>废</w:t>
                  </w:r>
                  <w:r>
                    <w:rPr>
                      <w:rFonts w:hint="eastAsia"/>
                      <w:color w:val="auto"/>
                      <w:highlight w:val="none"/>
                    </w:rPr>
                    <w:t>切削液分开，离</w:t>
                  </w:r>
                  <w:r>
                    <w:rPr>
                      <w:rFonts w:hint="eastAsia"/>
                      <w:color w:val="auto"/>
                      <w:highlight w:val="none"/>
                      <w:lang w:eastAsia="zh-CN"/>
                    </w:rPr>
                    <w:t>心</w:t>
                  </w:r>
                  <w:r>
                    <w:rPr>
                      <w:rFonts w:hint="eastAsia"/>
                      <w:color w:val="auto"/>
                      <w:highlight w:val="none"/>
                    </w:rPr>
                    <w:t>设备收集桶内收集的废切削液倒入回收桶内，加盖储存，可重新回用于生产，</w:t>
                  </w:r>
                  <w:r>
                    <w:rPr>
                      <w:rFonts w:hint="eastAsia"/>
                      <w:color w:val="auto"/>
                      <w:highlight w:val="none"/>
                      <w:lang w:eastAsia="zh-CN"/>
                    </w:rPr>
                    <w:t>定期更换；</w:t>
                  </w:r>
                  <w:r>
                    <w:rPr>
                      <w:rFonts w:hint="eastAsia"/>
                      <w:color w:val="auto"/>
                      <w:highlight w:val="none"/>
                    </w:rPr>
                    <w:t>离心后的废金属屑袋装收集储存不落地</w:t>
                  </w:r>
                  <w:r>
                    <w:rPr>
                      <w:rFonts w:hint="eastAsia"/>
                      <w:color w:val="auto"/>
                      <w:highlight w:val="none"/>
                      <w:lang w:eastAsia="zh-CN"/>
                    </w:rPr>
                    <w:t>，集中收集后外售</w:t>
                  </w:r>
                  <w:r>
                    <w:rPr>
                      <w:rFonts w:hint="eastAsia" w:ascii="黑体" w:hAnsi="黑体" w:eastAsia="黑体" w:cs="黑体"/>
                      <w:color w:val="auto"/>
                      <w:sz w:val="21"/>
                      <w:szCs w:val="21"/>
                      <w:highlight w:val="none"/>
                      <w:lang w:eastAsia="zh-CN"/>
                    </w:rPr>
                    <w:t>；</w:t>
                  </w:r>
                  <w:r>
                    <w:rPr>
                      <w:rFonts w:hint="eastAsia" w:cs="Times New Roman"/>
                      <w:color w:val="auto"/>
                      <w:sz w:val="21"/>
                      <w:szCs w:val="21"/>
                      <w:highlight w:val="none"/>
                      <w:lang w:eastAsia="zh-CN"/>
                    </w:rPr>
                    <w:t>废切削液、废润滑油、废液压油、废包装桶、含油废手套废抹布等依托现有危废暂存间暂存，定期委托有资质单位处置；</w:t>
                  </w:r>
                  <w:r>
                    <w:rPr>
                      <w:rFonts w:hint="default" w:ascii="Times New Roman" w:hAnsi="Times New Roman" w:cs="Times New Roman"/>
                      <w:color w:val="auto"/>
                      <w:sz w:val="21"/>
                      <w:szCs w:val="21"/>
                      <w:highlight w:val="none"/>
                      <w:lang w:eastAsia="zh-CN"/>
                    </w:rPr>
                    <w:t>生活垃圾环卫部门统一处理。</w:t>
                  </w:r>
                </w:p>
              </w:tc>
            </w:tr>
          </w:tbl>
          <w:p>
            <w:pPr>
              <w:pStyle w:val="7"/>
              <w:keepNext w:val="0"/>
              <w:keepLines w:val="0"/>
              <w:pageBreakBefore w:val="0"/>
              <w:widowControl w:val="0"/>
              <w:kinsoku/>
              <w:wordWrap/>
              <w:overflowPunct/>
              <w:topLinePunct w:val="0"/>
              <w:autoSpaceDE/>
              <w:autoSpaceDN/>
              <w:bidi w:val="0"/>
              <w:snapToGrid/>
              <w:spacing w:line="360" w:lineRule="auto"/>
              <w:ind w:firstLine="480" w:firstLineChars="200"/>
              <w:rPr>
                <w:color w:val="auto"/>
                <w:kern w:val="24"/>
                <w:sz w:val="24"/>
                <w:highlight w:val="none"/>
              </w:rPr>
            </w:pPr>
            <w:r>
              <w:rPr>
                <w:color w:val="auto"/>
                <w:kern w:val="24"/>
                <w:sz w:val="24"/>
                <w:highlight w:val="none"/>
              </w:rPr>
              <w:t>建设地点：</w:t>
            </w:r>
            <w:r>
              <w:rPr>
                <w:color w:val="auto"/>
                <w:kern w:val="0"/>
                <w:sz w:val="24"/>
                <w:highlight w:val="none"/>
              </w:rPr>
              <w:t>本项目位于</w:t>
            </w:r>
            <w:r>
              <w:rPr>
                <w:rFonts w:hint="eastAsia"/>
                <w:color w:val="auto"/>
                <w:kern w:val="24"/>
                <w:sz w:val="24"/>
                <w:highlight w:val="none"/>
                <w:lang w:eastAsia="zh-CN"/>
              </w:rPr>
              <w:t>河北迁安经济开发区纬九街南侧、纬十街北侧</w:t>
            </w:r>
            <w:r>
              <w:rPr>
                <w:color w:val="auto"/>
                <w:kern w:val="0"/>
                <w:sz w:val="24"/>
                <w:highlight w:val="none"/>
              </w:rPr>
              <w:t>。</w:t>
            </w:r>
            <w:r>
              <w:rPr>
                <w:rFonts w:hint="eastAsia"/>
                <w:color w:val="auto"/>
                <w:kern w:val="0"/>
                <w:sz w:val="24"/>
                <w:highlight w:val="none"/>
                <w:lang w:eastAsia="zh-CN"/>
              </w:rPr>
              <w:t>厂区</w:t>
            </w:r>
            <w:r>
              <w:rPr>
                <w:color w:val="auto"/>
                <w:sz w:val="24"/>
                <w:highlight w:val="none"/>
              </w:rPr>
              <w:t>中心坐标为N</w:t>
            </w:r>
            <w:r>
              <w:rPr>
                <w:rFonts w:hint="eastAsia"/>
                <w:color w:val="auto"/>
                <w:sz w:val="24"/>
                <w:highlight w:val="none"/>
                <w:lang w:val="en-US" w:eastAsia="zh-CN"/>
              </w:rPr>
              <w:t>39.982366</w:t>
            </w:r>
            <w:r>
              <w:rPr>
                <w:color w:val="auto"/>
                <w:sz w:val="24"/>
                <w:highlight w:val="none"/>
              </w:rPr>
              <w:t>°，E</w:t>
            </w:r>
            <w:r>
              <w:rPr>
                <w:rFonts w:hint="eastAsia"/>
                <w:color w:val="auto"/>
                <w:sz w:val="24"/>
                <w:highlight w:val="none"/>
              </w:rPr>
              <w:t>118.</w:t>
            </w:r>
            <w:r>
              <w:rPr>
                <w:rFonts w:hint="eastAsia"/>
                <w:color w:val="auto"/>
                <w:sz w:val="24"/>
                <w:highlight w:val="none"/>
                <w:lang w:val="en-US" w:eastAsia="zh-CN"/>
              </w:rPr>
              <w:t>602964</w:t>
            </w:r>
            <w:r>
              <w:rPr>
                <w:color w:val="auto"/>
                <w:sz w:val="24"/>
                <w:highlight w:val="none"/>
              </w:rPr>
              <w:t>°。厂区</w:t>
            </w:r>
            <w:r>
              <w:rPr>
                <w:rFonts w:hint="eastAsia"/>
                <w:color w:val="auto"/>
                <w:sz w:val="24"/>
                <w:highlight w:val="none"/>
                <w:lang w:eastAsia="zh-CN"/>
              </w:rPr>
              <w:t>东侧为空地，南侧隔纬十街为中国交建，西侧为</w:t>
            </w:r>
            <w:r>
              <w:rPr>
                <w:rFonts w:hint="eastAsia"/>
                <w:color w:val="auto"/>
                <w:sz w:val="24"/>
                <w:highlight w:val="none"/>
              </w:rPr>
              <w:t>首钢股份公司迁安钢铁公司</w:t>
            </w:r>
            <w:r>
              <w:rPr>
                <w:rFonts w:hint="eastAsia"/>
                <w:color w:val="auto"/>
                <w:sz w:val="24"/>
                <w:highlight w:val="none"/>
                <w:lang w:eastAsia="zh-CN"/>
              </w:rPr>
              <w:t>三维库，北侧隔纬九街为空地。厂址周围较近敏感点分布为：</w:t>
            </w:r>
            <w:r>
              <w:rPr>
                <w:rFonts w:hint="eastAsia"/>
                <w:color w:val="auto"/>
                <w:sz w:val="24"/>
                <w:highlight w:val="none"/>
                <w:lang w:val="en-US" w:eastAsia="zh-CN"/>
              </w:rPr>
              <w:t>项目北距任官营村900m，东北距毛庄村1350m，东距</w:t>
            </w:r>
            <w:r>
              <w:rPr>
                <w:rFonts w:hint="eastAsia"/>
                <w:color w:val="auto"/>
                <w:sz w:val="24"/>
                <w:highlight w:val="none"/>
                <w:lang w:eastAsia="zh-CN"/>
              </w:rPr>
              <w:t>张官营村</w:t>
            </w:r>
            <w:r>
              <w:rPr>
                <w:rFonts w:hint="eastAsia"/>
                <w:color w:val="auto"/>
                <w:sz w:val="24"/>
                <w:highlight w:val="none"/>
                <w:lang w:val="en-US" w:eastAsia="zh-CN"/>
              </w:rPr>
              <w:t>1790m，南距</w:t>
            </w:r>
            <w:r>
              <w:rPr>
                <w:rFonts w:hint="eastAsia"/>
                <w:color w:val="auto"/>
                <w:sz w:val="24"/>
                <w:highlight w:val="none"/>
                <w:lang w:eastAsia="zh-CN"/>
              </w:rPr>
              <w:t>蚕姑庙村</w:t>
            </w:r>
            <w:r>
              <w:rPr>
                <w:rFonts w:hint="eastAsia"/>
                <w:color w:val="auto"/>
                <w:sz w:val="24"/>
                <w:highlight w:val="none"/>
                <w:lang w:val="en-US" w:eastAsia="zh-CN"/>
              </w:rPr>
              <w:t>1270m、距马各庄村2950m，西距</w:t>
            </w:r>
            <w:r>
              <w:rPr>
                <w:rFonts w:hint="eastAsia"/>
                <w:color w:val="auto"/>
                <w:sz w:val="24"/>
                <w:highlight w:val="none"/>
                <w:lang w:eastAsia="zh-CN"/>
              </w:rPr>
              <w:t>洼里村</w:t>
            </w:r>
            <w:r>
              <w:rPr>
                <w:rFonts w:hint="eastAsia"/>
                <w:color w:val="auto"/>
                <w:sz w:val="24"/>
                <w:highlight w:val="none"/>
                <w:lang w:val="en-US" w:eastAsia="zh-CN"/>
              </w:rPr>
              <w:t>1250m，西北局</w:t>
            </w:r>
            <w:r>
              <w:rPr>
                <w:rFonts w:hint="eastAsia"/>
                <w:color w:val="auto"/>
                <w:sz w:val="24"/>
                <w:highlight w:val="none"/>
                <w:lang w:eastAsia="zh-CN"/>
              </w:rPr>
              <w:t>滨河村社区</w:t>
            </w:r>
            <w:r>
              <w:rPr>
                <w:rFonts w:hint="eastAsia"/>
                <w:color w:val="auto"/>
                <w:sz w:val="24"/>
                <w:highlight w:val="none"/>
                <w:lang w:val="en-US" w:eastAsia="zh-CN"/>
              </w:rPr>
              <w:t>1380m、距</w:t>
            </w:r>
            <w:r>
              <w:rPr>
                <w:rFonts w:hint="eastAsia"/>
                <w:color w:val="auto"/>
                <w:sz w:val="24"/>
                <w:highlight w:val="none"/>
                <w:lang w:eastAsia="zh-CN"/>
              </w:rPr>
              <w:t>迁安市民政局第二敬老院</w:t>
            </w:r>
            <w:r>
              <w:rPr>
                <w:rFonts w:hint="eastAsia"/>
                <w:color w:val="auto"/>
                <w:sz w:val="24"/>
                <w:highlight w:val="none"/>
                <w:lang w:val="en-US" w:eastAsia="zh-CN"/>
              </w:rPr>
              <w:t>1380m、距</w:t>
            </w:r>
            <w:r>
              <w:rPr>
                <w:rFonts w:hint="eastAsia"/>
                <w:color w:val="auto"/>
                <w:sz w:val="24"/>
                <w:highlight w:val="none"/>
                <w:lang w:eastAsia="zh-CN"/>
              </w:rPr>
              <w:t>迁安市杨店子工商局</w:t>
            </w:r>
            <w:r>
              <w:rPr>
                <w:rFonts w:hint="eastAsia"/>
                <w:color w:val="auto"/>
                <w:sz w:val="24"/>
                <w:highlight w:val="none"/>
                <w:lang w:val="en-US" w:eastAsia="zh-CN"/>
              </w:rPr>
              <w:t>1710m</w:t>
            </w:r>
            <w:r>
              <w:rPr>
                <w:rFonts w:hint="eastAsia"/>
                <w:color w:val="auto"/>
                <w:sz w:val="24"/>
                <w:highlight w:val="none"/>
                <w:lang w:eastAsia="zh-CN"/>
              </w:rPr>
              <w:t>。距离水源地准保护区</w:t>
            </w:r>
            <w:r>
              <w:rPr>
                <w:rFonts w:hint="eastAsia"/>
                <w:color w:val="auto"/>
                <w:kern w:val="0"/>
                <w:sz w:val="24"/>
                <w:highlight w:val="none"/>
                <w:lang w:val="en-US" w:eastAsia="zh-CN"/>
              </w:rPr>
              <w:t>2870m，距离西沙河生态红线2150m，</w:t>
            </w:r>
            <w:r>
              <w:rPr>
                <w:rFonts w:hint="eastAsia"/>
                <w:color w:val="auto"/>
                <w:kern w:val="0"/>
                <w:sz w:val="24"/>
                <w:highlight w:val="none"/>
                <w:lang w:eastAsia="zh-CN"/>
              </w:rPr>
              <w:t>厂区周边评价范围内无其他</w:t>
            </w:r>
            <w:r>
              <w:rPr>
                <w:color w:val="auto"/>
                <w:kern w:val="0"/>
                <w:sz w:val="24"/>
                <w:highlight w:val="none"/>
              </w:rPr>
              <w:t>自然保护区、风景名胜区、生态功能保护区、文物保护地等法律、法规规定的环境敏感区。厂址地理位置图见附图1，厂区周围环境关系见附图2。</w:t>
            </w:r>
          </w:p>
          <w:p>
            <w:pPr>
              <w:keepNext w:val="0"/>
              <w:keepLines w:val="0"/>
              <w:pageBreakBefore w:val="0"/>
              <w:widowControl w:val="0"/>
              <w:kinsoku/>
              <w:wordWrap/>
              <w:overflowPunct/>
              <w:topLinePunct w:val="0"/>
              <w:autoSpaceDE/>
              <w:autoSpaceDN/>
              <w:bidi w:val="0"/>
              <w:snapToGrid/>
              <w:spacing w:line="360" w:lineRule="auto"/>
              <w:ind w:firstLine="480" w:firstLineChars="200"/>
              <w:rPr>
                <w:color w:val="auto"/>
                <w:kern w:val="24"/>
                <w:sz w:val="24"/>
                <w:highlight w:val="none"/>
              </w:rPr>
            </w:pPr>
            <w:r>
              <w:rPr>
                <w:rFonts w:hint="eastAsia"/>
                <w:color w:val="auto"/>
                <w:kern w:val="24"/>
                <w:sz w:val="24"/>
                <w:highlight w:val="none"/>
                <w:lang w:eastAsia="zh-CN"/>
              </w:rPr>
              <w:t>（</w:t>
            </w:r>
            <w:r>
              <w:rPr>
                <w:rFonts w:hint="eastAsia"/>
                <w:color w:val="auto"/>
                <w:kern w:val="24"/>
                <w:sz w:val="24"/>
                <w:highlight w:val="none"/>
                <w:lang w:val="en-US" w:eastAsia="zh-CN"/>
              </w:rPr>
              <w:t>8</w:t>
            </w:r>
            <w:r>
              <w:rPr>
                <w:rFonts w:hint="eastAsia"/>
                <w:color w:val="auto"/>
                <w:kern w:val="24"/>
                <w:sz w:val="24"/>
                <w:highlight w:val="none"/>
                <w:lang w:eastAsia="zh-CN"/>
              </w:rPr>
              <w:t>）</w:t>
            </w:r>
            <w:r>
              <w:rPr>
                <w:color w:val="auto"/>
                <w:kern w:val="24"/>
                <w:sz w:val="24"/>
                <w:highlight w:val="none"/>
              </w:rPr>
              <w:t>劳动定员：</w:t>
            </w:r>
            <w:r>
              <w:rPr>
                <w:rFonts w:hint="eastAsia"/>
                <w:color w:val="auto"/>
                <w:kern w:val="24"/>
                <w:sz w:val="24"/>
                <w:highlight w:val="none"/>
                <w:lang w:eastAsia="zh-CN"/>
              </w:rPr>
              <w:t>技改项目不新增职工</w:t>
            </w:r>
            <w:r>
              <w:rPr>
                <w:rFonts w:hint="eastAsia"/>
                <w:color w:val="auto"/>
                <w:kern w:val="24"/>
                <w:sz w:val="24"/>
                <w:highlight w:val="none"/>
                <w:lang w:val="en-US" w:eastAsia="zh-CN"/>
              </w:rPr>
              <w:t>，所需员工由现有人员调配</w:t>
            </w:r>
            <w:r>
              <w:rPr>
                <w:color w:val="auto"/>
                <w:kern w:val="24"/>
                <w:sz w:val="24"/>
                <w:highlight w:val="none"/>
              </w:rPr>
              <w:t>。</w:t>
            </w:r>
          </w:p>
          <w:p>
            <w:pPr>
              <w:keepNext w:val="0"/>
              <w:keepLines w:val="0"/>
              <w:pageBreakBefore w:val="0"/>
              <w:widowControl w:val="0"/>
              <w:kinsoku/>
              <w:wordWrap/>
              <w:overflowPunct/>
              <w:topLinePunct w:val="0"/>
              <w:autoSpaceDE/>
              <w:autoSpaceDN/>
              <w:bidi w:val="0"/>
              <w:snapToGrid/>
              <w:spacing w:line="360" w:lineRule="auto"/>
              <w:ind w:firstLine="480" w:firstLineChars="200"/>
              <w:rPr>
                <w:rFonts w:hint="default" w:eastAsia="宋体"/>
                <w:color w:val="auto"/>
                <w:sz w:val="24"/>
                <w:highlight w:val="none"/>
                <w:lang w:val="en-US" w:eastAsia="zh-CN"/>
              </w:rPr>
            </w:pPr>
            <w:r>
              <w:rPr>
                <w:color w:val="auto"/>
                <w:sz w:val="24"/>
                <w:highlight w:val="none"/>
              </w:rPr>
              <w:t>2、生产设备</w:t>
            </w:r>
            <w:r>
              <w:rPr>
                <w:rFonts w:hint="eastAsia"/>
                <w:color w:val="auto"/>
                <w:sz w:val="24"/>
                <w:highlight w:val="none"/>
                <w:lang w:eastAsia="zh-CN"/>
              </w:rPr>
              <w:t>：现有设备</w:t>
            </w:r>
            <w:r>
              <w:rPr>
                <w:rFonts w:hint="eastAsia"/>
                <w:color w:val="auto"/>
                <w:sz w:val="24"/>
                <w:highlight w:val="none"/>
                <w:lang w:val="en-US" w:eastAsia="zh-CN"/>
              </w:rPr>
              <w:t>21台（套），</w:t>
            </w:r>
            <w:r>
              <w:rPr>
                <w:rFonts w:hint="eastAsia"/>
                <w:color w:val="auto"/>
                <w:sz w:val="24"/>
                <w:highlight w:val="none"/>
                <w:lang w:eastAsia="zh-CN"/>
              </w:rPr>
              <w:t>技改项目新增主要生产设备</w:t>
            </w:r>
            <w:r>
              <w:rPr>
                <w:rFonts w:hint="eastAsia"/>
                <w:color w:val="auto"/>
                <w:sz w:val="24"/>
                <w:highlight w:val="none"/>
                <w:lang w:val="en-US" w:eastAsia="zh-CN"/>
              </w:rPr>
              <w:t>26台（套）。</w:t>
            </w:r>
          </w:p>
          <w:p>
            <w:pPr>
              <w:spacing w:line="500" w:lineRule="exact"/>
              <w:ind w:firstLine="482" w:firstLineChars="200"/>
              <w:jc w:val="center"/>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表</w:t>
            </w:r>
            <w:r>
              <w:rPr>
                <w:rFonts w:hint="eastAsia" w:cs="Times New Roman"/>
                <w:b/>
                <w:bCs/>
                <w:color w:val="auto"/>
                <w:kern w:val="0"/>
                <w:sz w:val="24"/>
                <w:highlight w:val="none"/>
                <w:lang w:val="en-US" w:eastAsia="zh-CN"/>
              </w:rPr>
              <w:t>7</w:t>
            </w:r>
            <w:r>
              <w:rPr>
                <w:rFonts w:hint="default" w:ascii="Times New Roman" w:hAnsi="Times New Roman" w:eastAsia="宋体" w:cs="Times New Roman"/>
                <w:b/>
                <w:bCs/>
                <w:color w:val="auto"/>
                <w:kern w:val="0"/>
                <w:sz w:val="24"/>
                <w:highlight w:val="none"/>
              </w:rPr>
              <w:t xml:space="preserve"> </w:t>
            </w:r>
            <w:r>
              <w:rPr>
                <w:rFonts w:hint="default" w:ascii="Times New Roman" w:hAnsi="Times New Roman" w:eastAsia="宋体" w:cs="Times New Roman"/>
                <w:b/>
                <w:bCs/>
                <w:color w:val="auto"/>
                <w:kern w:val="0"/>
                <w:sz w:val="24"/>
                <w:highlight w:val="none"/>
                <w:lang w:val="en-US" w:eastAsia="zh-CN"/>
              </w:rPr>
              <w:t xml:space="preserve">  </w:t>
            </w:r>
            <w:r>
              <w:rPr>
                <w:rFonts w:hint="eastAsia" w:cs="Times New Roman"/>
                <w:b/>
                <w:bCs/>
                <w:color w:val="auto"/>
                <w:kern w:val="0"/>
                <w:sz w:val="24"/>
                <w:highlight w:val="none"/>
                <w:lang w:val="en-US" w:eastAsia="zh-CN"/>
              </w:rPr>
              <w:t>技改</w:t>
            </w:r>
            <w:r>
              <w:rPr>
                <w:rFonts w:hint="default" w:ascii="Times New Roman" w:hAnsi="Times New Roman" w:eastAsia="宋体" w:cs="Times New Roman"/>
                <w:b/>
                <w:bCs/>
                <w:color w:val="auto"/>
                <w:kern w:val="0"/>
                <w:sz w:val="24"/>
                <w:highlight w:val="none"/>
                <w:lang w:val="en-US" w:eastAsia="zh-CN"/>
              </w:rPr>
              <w:t>项目</w:t>
            </w:r>
            <w:r>
              <w:rPr>
                <w:rFonts w:hint="default" w:ascii="Times New Roman" w:hAnsi="Times New Roman" w:eastAsia="宋体" w:cs="Times New Roman"/>
                <w:b/>
                <w:bCs/>
                <w:color w:val="auto"/>
                <w:kern w:val="0"/>
                <w:sz w:val="24"/>
                <w:highlight w:val="none"/>
              </w:rPr>
              <w:t>主要设备一览表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3093"/>
              <w:gridCol w:w="2053"/>
              <w:gridCol w:w="27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82" w:type="dxa"/>
                  <w:noWrap w:val="0"/>
                  <w:vAlign w:val="center"/>
                </w:tcPr>
                <w:p>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序号</w:t>
                  </w:r>
                </w:p>
              </w:tc>
              <w:tc>
                <w:tcPr>
                  <w:tcW w:w="2504" w:type="dxa"/>
                  <w:noWrap w:val="0"/>
                  <w:vAlign w:val="center"/>
                </w:tcPr>
                <w:p>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设备名称</w:t>
                  </w:r>
                </w:p>
              </w:tc>
              <w:tc>
                <w:tcPr>
                  <w:tcW w:w="1662"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台/套数</w:t>
                  </w:r>
                </w:p>
              </w:tc>
              <w:tc>
                <w:tcPr>
                  <w:tcW w:w="2264"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型号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504" w:type="dxa"/>
                  <w:noWrap w:val="0"/>
                  <w:vAlign w:val="center"/>
                </w:tcPr>
                <w:p>
                  <w:pPr>
                    <w:widowControl/>
                    <w:ind w:firstLine="0" w:firstLineChars="0"/>
                    <w:jc w:val="center"/>
                    <w:rPr>
                      <w:rFonts w:hint="default" w:ascii="宋体" w:hAnsi="宋体" w:eastAsia="宋体" w:cs="宋体"/>
                      <w:color w:val="auto"/>
                      <w:spacing w:val="0"/>
                      <w:kern w:val="0"/>
                      <w:sz w:val="21"/>
                      <w:szCs w:val="21"/>
                      <w:highlight w:val="none"/>
                      <w:lang w:val="en-US" w:eastAsia="zh-CN" w:bidi="ar-SA"/>
                    </w:rPr>
                  </w:pPr>
                  <w:r>
                    <w:rPr>
                      <w:rFonts w:hint="eastAsia" w:ascii="宋体" w:hAnsi="宋体" w:cs="宋体"/>
                      <w:color w:val="auto"/>
                      <w:spacing w:val="0"/>
                      <w:kern w:val="0"/>
                      <w:sz w:val="21"/>
                      <w:szCs w:val="21"/>
                      <w:highlight w:val="none"/>
                      <w:lang w:val="en-US" w:eastAsia="zh-CN" w:bidi="ar-SA"/>
                    </w:rPr>
                    <w:t>车床</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w:t>
                  </w:r>
                </w:p>
              </w:tc>
              <w:tc>
                <w:tcPr>
                  <w:tcW w:w="2264"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w:t>
                  </w:r>
                </w:p>
              </w:tc>
              <w:tc>
                <w:tcPr>
                  <w:tcW w:w="2504" w:type="dxa"/>
                  <w:noWrap w:val="0"/>
                  <w:vAlign w:val="center"/>
                </w:tcPr>
                <w:p>
                  <w:pPr>
                    <w:widowControl/>
                    <w:ind w:firstLine="0" w:firstLineChars="0"/>
                    <w:jc w:val="center"/>
                    <w:rPr>
                      <w:rFonts w:hint="default"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数控加工中心</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8</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Vmc855（Vmc1100）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w:t>
                  </w:r>
                </w:p>
              </w:tc>
              <w:tc>
                <w:tcPr>
                  <w:tcW w:w="2504" w:type="dxa"/>
                  <w:noWrap w:val="0"/>
                  <w:vAlign w:val="center"/>
                </w:tcPr>
                <w:p>
                  <w:pPr>
                    <w:widowControl/>
                    <w:ind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铣床</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w:t>
                  </w:r>
                </w:p>
              </w:tc>
              <w:tc>
                <w:tcPr>
                  <w:tcW w:w="2504" w:type="dxa"/>
                  <w:noWrap w:val="0"/>
                  <w:vAlign w:val="center"/>
                </w:tcPr>
                <w:p>
                  <w:pPr>
                    <w:widowControl/>
                    <w:ind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钻床</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Z3050×16/1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w:t>
                  </w:r>
                </w:p>
              </w:tc>
              <w:tc>
                <w:tcPr>
                  <w:tcW w:w="2504" w:type="dxa"/>
                  <w:noWrap w:val="0"/>
                  <w:vAlign w:val="center"/>
                </w:tcPr>
                <w:p>
                  <w:pPr>
                    <w:widowControl/>
                    <w:ind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锯床</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GB4240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6</w:t>
                  </w:r>
                </w:p>
              </w:tc>
              <w:tc>
                <w:tcPr>
                  <w:tcW w:w="2504" w:type="dxa"/>
                  <w:noWrap w:val="0"/>
                  <w:vAlign w:val="center"/>
                </w:tcPr>
                <w:p>
                  <w:pPr>
                    <w:widowControl/>
                    <w:ind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磨床</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M250AH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7</w:t>
                  </w:r>
                </w:p>
              </w:tc>
              <w:tc>
                <w:tcPr>
                  <w:tcW w:w="2504" w:type="dxa"/>
                  <w:noWrap w:val="0"/>
                  <w:vAlign w:val="center"/>
                </w:tcPr>
                <w:p>
                  <w:pPr>
                    <w:widowControl/>
                    <w:ind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镗床</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8</w:t>
                  </w:r>
                </w:p>
              </w:tc>
              <w:tc>
                <w:tcPr>
                  <w:tcW w:w="2504" w:type="dxa"/>
                  <w:noWrap w:val="0"/>
                  <w:vAlign w:val="center"/>
                </w:tcPr>
                <w:p>
                  <w:pPr>
                    <w:widowControl/>
                    <w:ind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自制抛光机</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9</w:t>
                  </w:r>
                </w:p>
              </w:tc>
              <w:tc>
                <w:tcPr>
                  <w:tcW w:w="2504" w:type="dxa"/>
                  <w:noWrap w:val="0"/>
                  <w:vAlign w:val="center"/>
                </w:tcPr>
                <w:p>
                  <w:pPr>
                    <w:widowControl/>
                    <w:ind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螺杆空压机</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JF-20A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10</w:t>
                  </w:r>
                </w:p>
              </w:tc>
              <w:tc>
                <w:tcPr>
                  <w:tcW w:w="2504" w:type="dxa"/>
                  <w:noWrap w:val="0"/>
                  <w:vAlign w:val="center"/>
                </w:tcPr>
                <w:p>
                  <w:pPr>
                    <w:widowControl/>
                    <w:ind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数控火焰切割机</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11</w:t>
                  </w:r>
                </w:p>
              </w:tc>
              <w:tc>
                <w:tcPr>
                  <w:tcW w:w="2504" w:type="dxa"/>
                  <w:noWrap w:val="0"/>
                  <w:vAlign w:val="center"/>
                </w:tcPr>
                <w:p>
                  <w:pPr>
                    <w:widowControl/>
                    <w:ind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卷板机</w:t>
                  </w:r>
                </w:p>
              </w:tc>
              <w:tc>
                <w:tcPr>
                  <w:tcW w:w="1662" w:type="dxa"/>
                  <w:noWrap w:val="0"/>
                  <w:vAlign w:val="center"/>
                </w:tcPr>
                <w:p>
                  <w:pPr>
                    <w:widowControl/>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12</w:t>
                  </w:r>
                </w:p>
              </w:tc>
              <w:tc>
                <w:tcPr>
                  <w:tcW w:w="2504" w:type="dxa"/>
                  <w:noWrap w:val="0"/>
                  <w:vAlign w:val="center"/>
                </w:tcPr>
                <w:p>
                  <w:pPr>
                    <w:widowControl/>
                    <w:ind w:firstLine="0" w:firstLineChars="0"/>
                    <w:jc w:val="center"/>
                    <w:rPr>
                      <w:rFonts w:hint="eastAsia" w:ascii="宋体" w:hAnsi="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箱形电阻炉</w:t>
                  </w:r>
                </w:p>
              </w:tc>
              <w:tc>
                <w:tcPr>
                  <w:tcW w:w="166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RJX-30-9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13</w:t>
                  </w:r>
                </w:p>
              </w:tc>
              <w:tc>
                <w:tcPr>
                  <w:tcW w:w="2504" w:type="dxa"/>
                  <w:noWrap w:val="0"/>
                  <w:vAlign w:val="center"/>
                </w:tcPr>
                <w:p>
                  <w:pPr>
                    <w:widowControl/>
                    <w:ind w:firstLine="0" w:firstLineChars="0"/>
                    <w:jc w:val="center"/>
                    <w:rPr>
                      <w:rFonts w:hint="eastAsia" w:ascii="宋体" w:hAnsi="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圆形电阻炉</w:t>
                  </w:r>
                </w:p>
              </w:tc>
              <w:tc>
                <w:tcPr>
                  <w:tcW w:w="166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2264" w:type="dxa"/>
                  <w:noWrap w:val="0"/>
                  <w:vAlign w:val="center"/>
                </w:tcPr>
                <w:p>
                  <w:pPr>
                    <w:widowControl/>
                    <w:jc w:val="center"/>
                    <w:rPr>
                      <w:rFonts w:hint="eastAsia"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14</w:t>
                  </w:r>
                </w:p>
              </w:tc>
              <w:tc>
                <w:tcPr>
                  <w:tcW w:w="2504" w:type="dxa"/>
                  <w:noWrap w:val="0"/>
                  <w:vAlign w:val="center"/>
                </w:tcPr>
                <w:p>
                  <w:pPr>
                    <w:widowControl/>
                    <w:ind w:firstLine="0" w:firstLineChars="0"/>
                    <w:jc w:val="center"/>
                    <w:rPr>
                      <w:rFonts w:hint="eastAsia" w:ascii="宋体" w:hAnsi="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合计</w:t>
                  </w:r>
                </w:p>
              </w:tc>
              <w:tc>
                <w:tcPr>
                  <w:tcW w:w="1662"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26</w:t>
                  </w:r>
                </w:p>
              </w:tc>
              <w:tc>
                <w:tcPr>
                  <w:tcW w:w="2264" w:type="dxa"/>
                  <w:noWrap w:val="0"/>
                  <w:vAlign w:val="center"/>
                </w:tcPr>
                <w:p>
                  <w:pPr>
                    <w:widowControl/>
                    <w:jc w:val="center"/>
                    <w:rPr>
                      <w:rFonts w:hint="eastAsia"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bl>
          <w:p>
            <w:pPr>
              <w:spacing w:line="500" w:lineRule="exact"/>
              <w:ind w:firstLine="482" w:firstLineChars="200"/>
              <w:jc w:val="center"/>
              <w:rPr>
                <w:rFonts w:hint="default" w:ascii="Times New Roman" w:hAnsi="Times New Roman" w:eastAsia="宋体" w:cs="Times New Roman"/>
                <w:b/>
                <w:bCs/>
                <w:color w:val="auto"/>
                <w:kern w:val="0"/>
                <w:sz w:val="24"/>
                <w:highlight w:val="none"/>
              </w:rPr>
            </w:pPr>
            <w:r>
              <w:rPr>
                <w:rFonts w:hint="eastAsia" w:cs="Times New Roman"/>
                <w:b/>
                <w:bCs/>
                <w:color w:val="auto"/>
                <w:kern w:val="0"/>
                <w:sz w:val="24"/>
                <w:highlight w:val="none"/>
                <w:lang w:eastAsia="zh-CN"/>
              </w:rPr>
              <w:t>续</w:t>
            </w:r>
            <w:r>
              <w:rPr>
                <w:rFonts w:hint="default" w:ascii="Times New Roman" w:hAnsi="Times New Roman" w:eastAsia="宋体" w:cs="Times New Roman"/>
                <w:b/>
                <w:bCs/>
                <w:color w:val="auto"/>
                <w:kern w:val="0"/>
                <w:sz w:val="24"/>
                <w:highlight w:val="none"/>
              </w:rPr>
              <w:t>表</w:t>
            </w:r>
            <w:r>
              <w:rPr>
                <w:rFonts w:hint="eastAsia" w:cs="Times New Roman"/>
                <w:b/>
                <w:bCs/>
                <w:color w:val="auto"/>
                <w:kern w:val="0"/>
                <w:sz w:val="24"/>
                <w:highlight w:val="none"/>
                <w:lang w:val="en-US" w:eastAsia="zh-CN"/>
              </w:rPr>
              <w:t>7</w:t>
            </w:r>
            <w:r>
              <w:rPr>
                <w:rFonts w:hint="default" w:ascii="Times New Roman" w:hAnsi="Times New Roman" w:eastAsia="宋体" w:cs="Times New Roman"/>
                <w:b/>
                <w:bCs/>
                <w:color w:val="auto"/>
                <w:kern w:val="0"/>
                <w:sz w:val="24"/>
                <w:highlight w:val="none"/>
              </w:rPr>
              <w:t xml:space="preserve"> </w:t>
            </w:r>
            <w:r>
              <w:rPr>
                <w:rFonts w:hint="default" w:ascii="Times New Roman" w:hAnsi="Times New Roman" w:eastAsia="宋体" w:cs="Times New Roman"/>
                <w:b/>
                <w:bCs/>
                <w:color w:val="auto"/>
                <w:kern w:val="0"/>
                <w:sz w:val="24"/>
                <w:highlight w:val="none"/>
                <w:lang w:val="en-US" w:eastAsia="zh-CN"/>
              </w:rPr>
              <w:t xml:space="preserve">  </w:t>
            </w:r>
            <w:r>
              <w:rPr>
                <w:rFonts w:hint="eastAsia" w:cs="Times New Roman"/>
                <w:b/>
                <w:bCs/>
                <w:color w:val="auto"/>
                <w:kern w:val="0"/>
                <w:sz w:val="24"/>
                <w:highlight w:val="none"/>
                <w:lang w:val="en-US" w:eastAsia="zh-CN"/>
              </w:rPr>
              <w:t>技改</w:t>
            </w:r>
            <w:r>
              <w:rPr>
                <w:rFonts w:hint="default" w:ascii="Times New Roman" w:hAnsi="Times New Roman" w:eastAsia="宋体" w:cs="Times New Roman"/>
                <w:b/>
                <w:bCs/>
                <w:color w:val="auto"/>
                <w:kern w:val="0"/>
                <w:sz w:val="24"/>
                <w:highlight w:val="none"/>
                <w:lang w:val="en-US" w:eastAsia="zh-CN"/>
              </w:rPr>
              <w:t>项目</w:t>
            </w:r>
            <w:r>
              <w:rPr>
                <w:rFonts w:hint="eastAsia" w:cs="Times New Roman"/>
                <w:b/>
                <w:bCs/>
                <w:color w:val="auto"/>
                <w:kern w:val="0"/>
                <w:sz w:val="24"/>
                <w:highlight w:val="none"/>
                <w:lang w:eastAsia="zh-CN"/>
              </w:rPr>
              <w:t>辅助及环保</w:t>
            </w:r>
            <w:r>
              <w:rPr>
                <w:rFonts w:hint="default" w:ascii="Times New Roman" w:hAnsi="Times New Roman" w:eastAsia="宋体" w:cs="Times New Roman"/>
                <w:b/>
                <w:bCs/>
                <w:color w:val="auto"/>
                <w:kern w:val="0"/>
                <w:sz w:val="24"/>
                <w:highlight w:val="none"/>
              </w:rPr>
              <w:t>设备一览表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40"/>
              <w:gridCol w:w="2956"/>
              <w:gridCol w:w="2099"/>
              <w:gridCol w:w="28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03" w:type="dxa"/>
                  <w:noWrap w:val="0"/>
                  <w:vAlign w:val="center"/>
                </w:tcPr>
                <w:p>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序号</w:t>
                  </w:r>
                </w:p>
              </w:tc>
              <w:tc>
                <w:tcPr>
                  <w:tcW w:w="1676" w:type="dxa"/>
                  <w:noWrap w:val="0"/>
                  <w:vAlign w:val="center"/>
                </w:tcPr>
                <w:p>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设备名称</w:t>
                  </w:r>
                </w:p>
              </w:tc>
              <w:tc>
                <w:tcPr>
                  <w:tcW w:w="1190"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台/套数</w:t>
                  </w:r>
                </w:p>
              </w:tc>
              <w:tc>
                <w:tcPr>
                  <w:tcW w:w="1621" w:type="dxa"/>
                  <w:noWrap w:val="0"/>
                  <w:vAlign w:val="center"/>
                </w:tcPr>
                <w:p>
                  <w:pPr>
                    <w:widowControl/>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型号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1676" w:type="dxa"/>
                  <w:noWrap w:val="0"/>
                  <w:vAlign w:val="center"/>
                </w:tcPr>
                <w:p>
                  <w:pPr>
                    <w:widowControl/>
                    <w:ind w:firstLine="0" w:firstLineChars="0"/>
                    <w:jc w:val="center"/>
                    <w:rPr>
                      <w:rFonts w:hint="eastAsia" w:ascii="宋体" w:hAnsi="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氧气罐</w:t>
                  </w:r>
                </w:p>
              </w:tc>
              <w:tc>
                <w:tcPr>
                  <w:tcW w:w="1190"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16</w:t>
                  </w:r>
                </w:p>
              </w:tc>
              <w:tc>
                <w:tcPr>
                  <w:tcW w:w="1621" w:type="dxa"/>
                  <w:noWrap w:val="0"/>
                  <w:vAlign w:val="center"/>
                </w:tcPr>
                <w:p>
                  <w:pPr>
                    <w:widowControl/>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40L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w:t>
                  </w:r>
                </w:p>
              </w:tc>
              <w:tc>
                <w:tcPr>
                  <w:tcW w:w="1676" w:type="dxa"/>
                  <w:noWrap w:val="0"/>
                  <w:vAlign w:val="center"/>
                </w:tcPr>
                <w:p>
                  <w:pPr>
                    <w:widowControl/>
                    <w:ind w:firstLine="0" w:firstLineChars="0"/>
                    <w:jc w:val="center"/>
                    <w:rPr>
                      <w:rFonts w:hint="eastAsia" w:ascii="宋体" w:hAnsi="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丙烷罐</w:t>
                  </w:r>
                </w:p>
              </w:tc>
              <w:tc>
                <w:tcPr>
                  <w:tcW w:w="1190"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6</w:t>
                  </w:r>
                </w:p>
              </w:tc>
              <w:tc>
                <w:tcPr>
                  <w:tcW w:w="1621" w:type="dxa"/>
                  <w:noWrap w:val="0"/>
                  <w:vAlign w:val="center"/>
                </w:tcPr>
                <w:p>
                  <w:pPr>
                    <w:widowControl/>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40L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w:t>
                  </w:r>
                </w:p>
              </w:tc>
              <w:tc>
                <w:tcPr>
                  <w:tcW w:w="1676" w:type="dxa"/>
                  <w:noWrap w:val="0"/>
                  <w:vAlign w:val="center"/>
                </w:tcPr>
                <w:p>
                  <w:pPr>
                    <w:widowControl/>
                    <w:ind w:firstLine="0" w:firstLineChars="0"/>
                    <w:jc w:val="center"/>
                    <w:rPr>
                      <w:rFonts w:hint="eastAsia" w:ascii="宋体" w:hAnsi="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二氧化碳罐</w:t>
                  </w:r>
                </w:p>
              </w:tc>
              <w:tc>
                <w:tcPr>
                  <w:tcW w:w="1190"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6</w:t>
                  </w:r>
                </w:p>
              </w:tc>
              <w:tc>
                <w:tcPr>
                  <w:tcW w:w="1621" w:type="dxa"/>
                  <w:noWrap w:val="0"/>
                  <w:vAlign w:val="center"/>
                </w:tcPr>
                <w:p>
                  <w:pPr>
                    <w:widowControl/>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40L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w:t>
                  </w:r>
                </w:p>
              </w:tc>
              <w:tc>
                <w:tcPr>
                  <w:tcW w:w="1676" w:type="dxa"/>
                  <w:noWrap w:val="0"/>
                  <w:vAlign w:val="center"/>
                </w:tcPr>
                <w:p>
                  <w:pPr>
                    <w:widowControl/>
                    <w:ind w:firstLine="0" w:firstLineChars="0"/>
                    <w:jc w:val="center"/>
                    <w:rPr>
                      <w:rFonts w:hint="eastAsia" w:ascii="宋体" w:hAnsi="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液氧罐</w:t>
                  </w:r>
                </w:p>
              </w:tc>
              <w:tc>
                <w:tcPr>
                  <w:tcW w:w="1190"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1621" w:type="dxa"/>
                  <w:noWrap w:val="0"/>
                  <w:vAlign w:val="center"/>
                </w:tcPr>
                <w:p>
                  <w:pPr>
                    <w:widowControl/>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175L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w:t>
                  </w:r>
                </w:p>
              </w:tc>
              <w:tc>
                <w:tcPr>
                  <w:tcW w:w="1676" w:type="dxa"/>
                  <w:noWrap w:val="0"/>
                  <w:vAlign w:val="center"/>
                </w:tcPr>
                <w:p>
                  <w:pPr>
                    <w:widowControl/>
                    <w:ind w:firstLine="0" w:firstLineChars="0"/>
                    <w:jc w:val="center"/>
                    <w:rPr>
                      <w:rFonts w:hint="eastAsia" w:ascii="Times New Roman" w:hAnsi="Times New Roman" w:cs="宋体"/>
                      <w:color w:val="auto"/>
                      <w:spacing w:val="0"/>
                      <w:kern w:val="0"/>
                      <w:sz w:val="21"/>
                      <w:szCs w:val="21"/>
                      <w:highlight w:val="none"/>
                      <w:lang w:val="en-US" w:eastAsia="zh-CN"/>
                    </w:rPr>
                  </w:pPr>
                  <w:r>
                    <w:rPr>
                      <w:rFonts w:hint="eastAsia" w:ascii="Times New Roman" w:hAnsi="Times New Roman" w:cs="宋体"/>
                      <w:color w:val="auto"/>
                      <w:spacing w:val="0"/>
                      <w:kern w:val="0"/>
                      <w:sz w:val="21"/>
                      <w:szCs w:val="21"/>
                      <w:highlight w:val="none"/>
                      <w:lang w:val="en-US" w:eastAsia="zh-CN"/>
                    </w:rPr>
                    <w:t>1#脉冲式布袋除尘器</w:t>
                  </w:r>
                </w:p>
              </w:tc>
              <w:tc>
                <w:tcPr>
                  <w:tcW w:w="1190"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1621" w:type="dxa"/>
                  <w:noWrap w:val="0"/>
                  <w:vAlign w:val="center"/>
                </w:tcPr>
                <w:p>
                  <w:pPr>
                    <w:widowControl/>
                    <w:jc w:val="center"/>
                    <w:rPr>
                      <w:rFonts w:hint="default" w:eastAsia="宋体" w:cs="Times New Roman"/>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4000m</w:t>
                  </w:r>
                  <w:r>
                    <w:rPr>
                      <w:rFonts w:hint="eastAsia" w:cs="Times New Roman" w:eastAsiaTheme="minorEastAsia"/>
                      <w:color w:val="auto"/>
                      <w:kern w:val="0"/>
                      <w:sz w:val="21"/>
                      <w:szCs w:val="21"/>
                      <w:highlight w:val="none"/>
                      <w:vertAlign w:val="superscript"/>
                      <w:lang w:val="en-US" w:eastAsia="zh-CN" w:bidi="ar-SA"/>
                    </w:rPr>
                    <w:t>3</w:t>
                  </w:r>
                  <w:r>
                    <w:rPr>
                      <w:rFonts w:hint="eastAsia" w:cs="Times New Roman" w:eastAsiaTheme="minorEastAsia"/>
                      <w:color w:val="auto"/>
                      <w:kern w:val="0"/>
                      <w:sz w:val="21"/>
                      <w:szCs w:val="21"/>
                      <w:highlight w:val="none"/>
                      <w:lang w:val="en-US" w:eastAsia="zh-CN" w:bidi="ar-SA"/>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6</w:t>
                  </w:r>
                </w:p>
              </w:tc>
              <w:tc>
                <w:tcPr>
                  <w:tcW w:w="1676" w:type="dxa"/>
                  <w:noWrap w:val="0"/>
                  <w:vAlign w:val="center"/>
                </w:tcPr>
                <w:p>
                  <w:pPr>
                    <w:widowControl/>
                    <w:ind w:firstLine="0" w:firstLineChars="0"/>
                    <w:jc w:val="center"/>
                    <w:rPr>
                      <w:rFonts w:hint="default" w:ascii="Times New Roman" w:hAnsi="Times New Roman" w:cs="宋体"/>
                      <w:color w:val="auto"/>
                      <w:spacing w:val="0"/>
                      <w:kern w:val="0"/>
                      <w:sz w:val="21"/>
                      <w:szCs w:val="21"/>
                      <w:highlight w:val="none"/>
                      <w:lang w:val="en-US" w:eastAsia="zh-CN"/>
                    </w:rPr>
                  </w:pPr>
                  <w:r>
                    <w:rPr>
                      <w:rFonts w:hint="eastAsia" w:ascii="Times New Roman" w:hAnsi="Times New Roman" w:cs="宋体"/>
                      <w:color w:val="auto"/>
                      <w:spacing w:val="0"/>
                      <w:kern w:val="0"/>
                      <w:sz w:val="21"/>
                      <w:szCs w:val="21"/>
                      <w:highlight w:val="none"/>
                      <w:lang w:val="en-US" w:eastAsia="zh-CN"/>
                    </w:rPr>
                    <w:t>2#脉冲式布袋除尘器</w:t>
                  </w:r>
                </w:p>
              </w:tc>
              <w:tc>
                <w:tcPr>
                  <w:tcW w:w="1190"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1621"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3000m</w:t>
                  </w:r>
                  <w:r>
                    <w:rPr>
                      <w:rFonts w:hint="eastAsia" w:cs="Times New Roman" w:eastAsiaTheme="minorEastAsia"/>
                      <w:color w:val="auto"/>
                      <w:kern w:val="0"/>
                      <w:sz w:val="21"/>
                      <w:szCs w:val="21"/>
                      <w:highlight w:val="none"/>
                      <w:vertAlign w:val="superscript"/>
                      <w:lang w:val="en-US" w:eastAsia="zh-CN" w:bidi="ar-SA"/>
                    </w:rPr>
                    <w:t>3</w:t>
                  </w:r>
                  <w:r>
                    <w:rPr>
                      <w:rFonts w:hint="eastAsia" w:cs="Times New Roman" w:eastAsiaTheme="minorEastAsia"/>
                      <w:color w:val="auto"/>
                      <w:kern w:val="0"/>
                      <w:sz w:val="21"/>
                      <w:szCs w:val="21"/>
                      <w:highlight w:val="none"/>
                      <w:lang w:val="en-US" w:eastAsia="zh-CN" w:bidi="ar-SA"/>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7</w:t>
                  </w:r>
                </w:p>
              </w:tc>
              <w:tc>
                <w:tcPr>
                  <w:tcW w:w="1676" w:type="dxa"/>
                  <w:noWrap w:val="0"/>
                  <w:vAlign w:val="center"/>
                </w:tcPr>
                <w:p>
                  <w:pPr>
                    <w:widowControl/>
                    <w:ind w:firstLine="0" w:firstLineChars="0"/>
                    <w:jc w:val="center"/>
                    <w:rPr>
                      <w:rFonts w:hint="eastAsia" w:ascii="宋体" w:hAnsi="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lang w:val="en-US" w:eastAsia="zh-CN"/>
                    </w:rPr>
                    <w:t>离心机</w:t>
                  </w:r>
                </w:p>
              </w:tc>
              <w:tc>
                <w:tcPr>
                  <w:tcW w:w="1190" w:type="dxa"/>
                  <w:noWrap w:val="0"/>
                  <w:vAlign w:val="center"/>
                </w:tcPr>
                <w:p>
                  <w:pPr>
                    <w:widowControl/>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1621" w:type="dxa"/>
                  <w:noWrap w:val="0"/>
                  <w:vAlign w:val="center"/>
                </w:tcPr>
                <w:p>
                  <w:pPr>
                    <w:widowControl/>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3"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8</w:t>
                  </w:r>
                </w:p>
              </w:tc>
              <w:tc>
                <w:tcPr>
                  <w:tcW w:w="1676" w:type="dxa"/>
                  <w:noWrap w:val="0"/>
                  <w:vAlign w:val="center"/>
                </w:tcPr>
                <w:p>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合计</w:t>
                  </w:r>
                </w:p>
              </w:tc>
              <w:tc>
                <w:tcPr>
                  <w:tcW w:w="1190"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highlight w:val="none"/>
                      <w:lang w:val="en-US" w:eastAsia="zh-CN"/>
                    </w:rPr>
                    <w:t>32</w:t>
                  </w:r>
                </w:p>
              </w:tc>
              <w:tc>
                <w:tcPr>
                  <w:tcW w:w="1621" w:type="dxa"/>
                  <w:noWrap w:val="0"/>
                  <w:vAlign w:val="center"/>
                </w:tcPr>
                <w:p>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w:t>
                  </w:r>
                </w:p>
              </w:tc>
            </w:tr>
          </w:tbl>
          <w:p>
            <w:pPr>
              <w:spacing w:line="440" w:lineRule="exact"/>
              <w:ind w:firstLine="480" w:firstLineChars="200"/>
              <w:rPr>
                <w:color w:val="auto"/>
                <w:sz w:val="24"/>
                <w:highlight w:val="none"/>
              </w:rPr>
            </w:pPr>
            <w:r>
              <w:rPr>
                <w:color w:val="auto"/>
                <w:sz w:val="24"/>
                <w:highlight w:val="none"/>
              </w:rPr>
              <w:t>3、主要原辅材料及能源消耗</w:t>
            </w:r>
          </w:p>
          <w:p>
            <w:pPr>
              <w:spacing w:line="440" w:lineRule="exact"/>
              <w:ind w:firstLine="480" w:firstLineChars="200"/>
              <w:rPr>
                <w:color w:val="auto"/>
                <w:sz w:val="24"/>
                <w:highlight w:val="none"/>
              </w:rPr>
            </w:pPr>
            <w:r>
              <w:rPr>
                <w:rFonts w:hint="eastAsia" w:cs="Times New Roman"/>
                <w:b w:val="0"/>
                <w:bCs/>
                <w:color w:val="auto"/>
                <w:sz w:val="24"/>
                <w:highlight w:val="none"/>
                <w:lang w:val="zh-CN"/>
              </w:rPr>
              <w:t>技改</w:t>
            </w:r>
            <w:r>
              <w:rPr>
                <w:rFonts w:hint="default" w:ascii="Times New Roman" w:hAnsi="Times New Roman" w:cs="Times New Roman"/>
                <w:b w:val="0"/>
                <w:bCs/>
                <w:color w:val="auto"/>
                <w:sz w:val="24"/>
                <w:highlight w:val="none"/>
                <w:lang w:val="zh-CN"/>
              </w:rPr>
              <w:t>项目实施前后主要原辅材料消耗量见下表。</w:t>
            </w:r>
          </w:p>
          <w:p>
            <w:pPr>
              <w:pageBreakBefore w:val="0"/>
              <w:widowControl w:val="0"/>
              <w:kinsoku/>
              <w:wordWrap/>
              <w:overflowPunct/>
              <w:topLinePunct w:val="0"/>
              <w:autoSpaceDE w:val="0"/>
              <w:autoSpaceDN w:val="0"/>
              <w:bidi w:val="0"/>
              <w:adjustRightInd w:val="0"/>
              <w:snapToGrid/>
              <w:spacing w:line="480" w:lineRule="exact"/>
              <w:ind w:firstLine="442"/>
              <w:jc w:val="center"/>
              <w:textAlignment w:val="auto"/>
              <w:rPr>
                <w:rFonts w:hint="default" w:ascii="Times New Roman" w:hAnsi="Times New Roman" w:cs="Times New Roman"/>
                <w:b/>
                <w:color w:val="auto"/>
                <w:sz w:val="24"/>
                <w:highlight w:val="none"/>
                <w:lang w:val="zh-CN"/>
              </w:rPr>
            </w:pPr>
          </w:p>
          <w:p>
            <w:pPr>
              <w:pageBreakBefore w:val="0"/>
              <w:widowControl w:val="0"/>
              <w:kinsoku/>
              <w:wordWrap/>
              <w:overflowPunct/>
              <w:topLinePunct w:val="0"/>
              <w:autoSpaceDE w:val="0"/>
              <w:autoSpaceDN w:val="0"/>
              <w:bidi w:val="0"/>
              <w:adjustRightInd w:val="0"/>
              <w:snapToGrid/>
              <w:spacing w:line="480" w:lineRule="exact"/>
              <w:ind w:firstLine="442"/>
              <w:jc w:val="center"/>
              <w:textAlignment w:val="auto"/>
              <w:rPr>
                <w:rFonts w:hint="default" w:ascii="Times New Roman" w:hAnsi="Times New Roman" w:cs="Times New Roman"/>
                <w:b/>
                <w:color w:val="auto"/>
                <w:sz w:val="24"/>
                <w:highlight w:val="none"/>
                <w:lang w:val="zh-CN"/>
              </w:rPr>
            </w:pPr>
            <w:r>
              <w:rPr>
                <w:rFonts w:hint="default" w:ascii="Times New Roman" w:hAnsi="Times New Roman" w:cs="Times New Roman"/>
                <w:b/>
                <w:color w:val="auto"/>
                <w:sz w:val="24"/>
                <w:highlight w:val="none"/>
                <w:lang w:val="zh-CN"/>
              </w:rPr>
              <w:t>表</w:t>
            </w:r>
            <w:r>
              <w:rPr>
                <w:rFonts w:hint="eastAsia" w:cs="Times New Roman"/>
                <w:b/>
                <w:color w:val="auto"/>
                <w:sz w:val="24"/>
                <w:highlight w:val="none"/>
                <w:lang w:val="en-US" w:eastAsia="zh-CN"/>
              </w:rPr>
              <w:t>8</w:t>
            </w:r>
            <w:r>
              <w:rPr>
                <w:rFonts w:hint="default" w:ascii="Times New Roman" w:hAnsi="Times New Roman" w:cs="Times New Roman"/>
                <w:b/>
                <w:color w:val="auto"/>
                <w:sz w:val="24"/>
                <w:highlight w:val="none"/>
                <w:lang w:val="zh-CN"/>
              </w:rPr>
              <w:t xml:space="preserve">       </w:t>
            </w:r>
            <w:r>
              <w:rPr>
                <w:rFonts w:hint="default" w:ascii="Times New Roman" w:hAnsi="Times New Roman" w:eastAsia="宋体" w:cs="Times New Roman"/>
                <w:b/>
                <w:bCs/>
                <w:color w:val="auto"/>
                <w:kern w:val="0"/>
                <w:sz w:val="24"/>
                <w:highlight w:val="none"/>
                <w:lang w:val="en-US" w:eastAsia="zh-CN"/>
              </w:rPr>
              <w:t xml:space="preserve"> </w:t>
            </w:r>
            <w:r>
              <w:rPr>
                <w:rFonts w:hint="eastAsia" w:cs="Times New Roman"/>
                <w:b/>
                <w:bCs/>
                <w:color w:val="auto"/>
                <w:kern w:val="0"/>
                <w:sz w:val="24"/>
                <w:highlight w:val="none"/>
                <w:lang w:val="en-US" w:eastAsia="zh-CN"/>
              </w:rPr>
              <w:t>技改</w:t>
            </w:r>
            <w:r>
              <w:rPr>
                <w:rFonts w:hint="default" w:ascii="Times New Roman" w:hAnsi="Times New Roman" w:eastAsia="宋体" w:cs="Times New Roman"/>
                <w:b/>
                <w:bCs/>
                <w:color w:val="auto"/>
                <w:kern w:val="0"/>
                <w:sz w:val="24"/>
                <w:highlight w:val="none"/>
                <w:lang w:val="en-US" w:eastAsia="zh-CN"/>
              </w:rPr>
              <w:t>项目建成后全厂</w:t>
            </w:r>
            <w:r>
              <w:rPr>
                <w:rFonts w:hint="default" w:ascii="Times New Roman" w:hAnsi="Times New Roman" w:cs="Times New Roman"/>
                <w:b/>
                <w:color w:val="auto"/>
                <w:sz w:val="24"/>
                <w:highlight w:val="none"/>
                <w:lang w:val="zh-CN"/>
              </w:rPr>
              <w:t>主要原辅材料表</w:t>
            </w:r>
          </w:p>
          <w:tbl>
            <w:tblPr>
              <w:tblStyle w:val="31"/>
              <w:tblW w:w="87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88"/>
              <w:gridCol w:w="1139"/>
              <w:gridCol w:w="1185"/>
              <w:gridCol w:w="990"/>
              <w:gridCol w:w="1200"/>
              <w:gridCol w:w="870"/>
              <w:gridCol w:w="29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序号</w:t>
                  </w:r>
                </w:p>
              </w:tc>
              <w:tc>
                <w:tcPr>
                  <w:tcW w:w="1139" w:type="dxa"/>
                  <w:noWrap w:val="0"/>
                  <w:vAlign w:val="center"/>
                </w:tcPr>
                <w:p>
                  <w:pPr>
                    <w:widowControl/>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名称</w:t>
                  </w:r>
                </w:p>
              </w:tc>
              <w:tc>
                <w:tcPr>
                  <w:tcW w:w="1185" w:type="dxa"/>
                  <w:noWrap w:val="0"/>
                  <w:vAlign w:val="center"/>
                </w:tcPr>
                <w:p>
                  <w:pPr>
                    <w:widowControl/>
                    <w:snapToGrid w:val="0"/>
                    <w:jc w:val="center"/>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eastAsia="zh-CN"/>
                    </w:rPr>
                    <w:t>技改</w:t>
                  </w:r>
                  <w:r>
                    <w:rPr>
                      <w:rFonts w:hint="default" w:ascii="Times New Roman" w:hAnsi="Times New Roman" w:cs="Times New Roman"/>
                      <w:color w:val="auto"/>
                      <w:kern w:val="0"/>
                      <w:sz w:val="21"/>
                      <w:szCs w:val="21"/>
                      <w:highlight w:val="none"/>
                      <w:lang w:eastAsia="zh-CN"/>
                    </w:rPr>
                    <w:t>前</w:t>
                  </w:r>
                  <w:r>
                    <w:rPr>
                      <w:rFonts w:hint="default" w:ascii="Times New Roman" w:hAnsi="Times New Roman" w:cs="Times New Roman"/>
                      <w:color w:val="auto"/>
                      <w:kern w:val="0"/>
                      <w:sz w:val="21"/>
                      <w:szCs w:val="21"/>
                      <w:highlight w:val="none"/>
                    </w:rPr>
                    <w:t>数量</w:t>
                  </w:r>
                </w:p>
              </w:tc>
              <w:tc>
                <w:tcPr>
                  <w:tcW w:w="990" w:type="dxa"/>
                  <w:noWrap w:val="0"/>
                  <w:vAlign w:val="center"/>
                </w:tcPr>
                <w:p>
                  <w:pPr>
                    <w:widowControl/>
                    <w:snapToGrid w:val="0"/>
                    <w:jc w:val="center"/>
                    <w:rPr>
                      <w:rFonts w:hint="default" w:ascii="Times New Roman" w:hAnsi="Times New Roman" w:cs="Times New Roman"/>
                      <w:color w:val="auto"/>
                      <w:kern w:val="0"/>
                      <w:sz w:val="21"/>
                      <w:szCs w:val="21"/>
                      <w:highlight w:val="none"/>
                      <w:lang w:eastAsia="zh-CN"/>
                    </w:rPr>
                  </w:pPr>
                  <w:r>
                    <w:rPr>
                      <w:rFonts w:hint="eastAsia" w:cs="Times New Roman"/>
                      <w:color w:val="auto"/>
                      <w:kern w:val="0"/>
                      <w:sz w:val="21"/>
                      <w:szCs w:val="21"/>
                      <w:highlight w:val="none"/>
                      <w:lang w:eastAsia="zh-CN"/>
                    </w:rPr>
                    <w:t>技改</w:t>
                  </w:r>
                  <w:r>
                    <w:rPr>
                      <w:rFonts w:hint="default" w:ascii="Times New Roman" w:hAnsi="Times New Roman" w:cs="Times New Roman"/>
                      <w:color w:val="auto"/>
                      <w:kern w:val="0"/>
                      <w:sz w:val="21"/>
                      <w:szCs w:val="21"/>
                      <w:highlight w:val="none"/>
                      <w:lang w:eastAsia="zh-CN"/>
                    </w:rPr>
                    <w:t>项目</w:t>
                  </w:r>
                </w:p>
              </w:tc>
              <w:tc>
                <w:tcPr>
                  <w:tcW w:w="1200" w:type="dxa"/>
                  <w:noWrap w:val="0"/>
                  <w:vAlign w:val="center"/>
                </w:tcPr>
                <w:p>
                  <w:pPr>
                    <w:widowControl/>
                    <w:snapToGrid w:val="0"/>
                    <w:jc w:val="center"/>
                    <w:rPr>
                      <w:rFonts w:hint="default" w:ascii="Times New Roman" w:hAnsi="Times New Roman" w:cs="Times New Roman"/>
                      <w:color w:val="auto"/>
                      <w:kern w:val="0"/>
                      <w:sz w:val="21"/>
                      <w:szCs w:val="21"/>
                      <w:highlight w:val="none"/>
                      <w:lang w:eastAsia="zh-CN"/>
                    </w:rPr>
                  </w:pPr>
                  <w:r>
                    <w:rPr>
                      <w:rFonts w:hint="eastAsia" w:cs="Times New Roman"/>
                      <w:color w:val="auto"/>
                      <w:kern w:val="0"/>
                      <w:sz w:val="21"/>
                      <w:szCs w:val="21"/>
                      <w:highlight w:val="none"/>
                      <w:lang w:eastAsia="zh-CN"/>
                    </w:rPr>
                    <w:t>技改实施后</w:t>
                  </w:r>
                  <w:r>
                    <w:rPr>
                      <w:rFonts w:hint="default" w:ascii="Times New Roman" w:hAnsi="Times New Roman" w:cs="Times New Roman"/>
                      <w:color w:val="auto"/>
                      <w:kern w:val="0"/>
                      <w:sz w:val="21"/>
                      <w:szCs w:val="21"/>
                      <w:highlight w:val="none"/>
                      <w:lang w:eastAsia="zh-CN"/>
                    </w:rPr>
                    <w:t>全厂</w:t>
                  </w:r>
                </w:p>
              </w:tc>
              <w:tc>
                <w:tcPr>
                  <w:tcW w:w="870" w:type="dxa"/>
                  <w:noWrap w:val="0"/>
                  <w:vAlign w:val="center"/>
                </w:tcPr>
                <w:p>
                  <w:pPr>
                    <w:widowControl/>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单位</w:t>
                  </w:r>
                </w:p>
              </w:tc>
              <w:tc>
                <w:tcPr>
                  <w:tcW w:w="2915" w:type="dxa"/>
                  <w:noWrap w:val="0"/>
                  <w:vAlign w:val="center"/>
                </w:tcPr>
                <w:p>
                  <w:pPr>
                    <w:widowControl/>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7" w:hRule="atLeast"/>
                <w:jc w:val="center"/>
              </w:trPr>
              <w:tc>
                <w:tcPr>
                  <w:tcW w:w="488" w:type="dxa"/>
                  <w:noWrap w:val="0"/>
                  <w:vAlign w:val="center"/>
                </w:tcPr>
                <w:p>
                  <w:pPr>
                    <w:widowControl/>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w:t>
                  </w:r>
                </w:p>
              </w:tc>
              <w:tc>
                <w:tcPr>
                  <w:tcW w:w="1139"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特种钢</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600</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600</w:t>
                  </w:r>
                </w:p>
              </w:tc>
              <w:tc>
                <w:tcPr>
                  <w:tcW w:w="870"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Cs w:val="21"/>
                      <w:highlight w:val="none"/>
                    </w:rPr>
                    <w:t>t/a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eastAsia="宋体" w:cs="Times New Roman"/>
                      <w:color w:val="auto"/>
                      <w:kern w:val="0"/>
                      <w:szCs w:val="21"/>
                      <w:highlight w:val="none"/>
                      <w:lang w:val="en-US" w:eastAsia="zh-CN"/>
                    </w:rPr>
                    <w:t>周边购入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2</w:t>
                  </w:r>
                </w:p>
              </w:tc>
              <w:tc>
                <w:tcPr>
                  <w:tcW w:w="1139"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普通钢板</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300</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300</w:t>
                  </w:r>
                </w:p>
              </w:tc>
              <w:tc>
                <w:tcPr>
                  <w:tcW w:w="870" w:type="dxa"/>
                  <w:noWrap w:val="0"/>
                  <w:vAlign w:val="center"/>
                </w:tcPr>
                <w:p>
                  <w:pPr>
                    <w:widowControl/>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Cs w:val="21"/>
                      <w:highlight w:val="none"/>
                    </w:rPr>
                    <w:t>t/a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周边购入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3</w:t>
                  </w:r>
                </w:p>
              </w:tc>
              <w:tc>
                <w:tcPr>
                  <w:tcW w:w="1139"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圆钢</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500</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500</w:t>
                  </w:r>
                </w:p>
              </w:tc>
              <w:tc>
                <w:tcPr>
                  <w:tcW w:w="870" w:type="dxa"/>
                  <w:noWrap w:val="0"/>
                  <w:vAlign w:val="center"/>
                </w:tcPr>
                <w:p>
                  <w:pPr>
                    <w:widowControl/>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Cs w:val="21"/>
                      <w:highlight w:val="none"/>
                    </w:rPr>
                    <w:t>t/a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周边购入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w:t>
                  </w:r>
                </w:p>
              </w:tc>
              <w:tc>
                <w:tcPr>
                  <w:tcW w:w="1139" w:type="dxa"/>
                  <w:noWrap w:val="0"/>
                  <w:vAlign w:val="center"/>
                </w:tcPr>
                <w:p>
                  <w:pPr>
                    <w:widowControl/>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丙炔</w:t>
                  </w:r>
                </w:p>
              </w:tc>
              <w:tc>
                <w:tcPr>
                  <w:tcW w:w="1185" w:type="dxa"/>
                  <w:noWrap w:val="0"/>
                  <w:vAlign w:val="center"/>
                </w:tcPr>
                <w:p>
                  <w:pPr>
                    <w:widowControl/>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0</w:t>
                  </w:r>
                </w:p>
              </w:tc>
              <w:tc>
                <w:tcPr>
                  <w:tcW w:w="990" w:type="dxa"/>
                  <w:noWrap w:val="0"/>
                  <w:vAlign w:val="center"/>
                </w:tcPr>
                <w:p>
                  <w:pPr>
                    <w:widowControl/>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240</w:t>
                  </w:r>
                </w:p>
              </w:tc>
              <w:tc>
                <w:tcPr>
                  <w:tcW w:w="1200" w:type="dxa"/>
                  <w:noWrap w:val="0"/>
                  <w:vAlign w:val="center"/>
                </w:tcPr>
                <w:p>
                  <w:pPr>
                    <w:widowControl/>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240</w:t>
                  </w:r>
                </w:p>
              </w:tc>
              <w:tc>
                <w:tcPr>
                  <w:tcW w:w="870" w:type="dxa"/>
                  <w:noWrap w:val="0"/>
                  <w:vAlign w:val="center"/>
                </w:tcPr>
                <w:p>
                  <w:pPr>
                    <w:widowControl/>
                    <w:snapToGrid w:val="0"/>
                    <w:jc w:val="center"/>
                    <w:rPr>
                      <w:rFonts w:hint="eastAsia" w:cs="Times New Roman"/>
                      <w:color w:val="auto"/>
                      <w:kern w:val="0"/>
                      <w:szCs w:val="21"/>
                      <w:highlight w:val="none"/>
                      <w:lang w:eastAsia="zh-CN"/>
                    </w:rPr>
                  </w:pPr>
                  <w:r>
                    <w:rPr>
                      <w:rFonts w:hint="eastAsia" w:cs="Times New Roman"/>
                      <w:color w:val="auto"/>
                      <w:kern w:val="0"/>
                      <w:sz w:val="21"/>
                      <w:szCs w:val="21"/>
                      <w:highlight w:val="none"/>
                      <w:lang w:val="en-US" w:eastAsia="zh-CN" w:bidi="ar-SA"/>
                    </w:rPr>
                    <w:t>L/a</w:t>
                  </w:r>
                </w:p>
              </w:tc>
              <w:tc>
                <w:tcPr>
                  <w:tcW w:w="2915" w:type="dxa"/>
                  <w:noWrap w:val="0"/>
                  <w:vAlign w:val="center"/>
                </w:tcPr>
                <w:p>
                  <w:pPr>
                    <w:widowControl/>
                    <w:snapToGrid w:val="0"/>
                    <w:jc w:val="center"/>
                    <w:rPr>
                      <w:rFonts w:hint="eastAsia" w:eastAsia="宋体" w:cs="Times New Roman"/>
                      <w:color w:val="auto"/>
                      <w:kern w:val="0"/>
                      <w:szCs w:val="21"/>
                      <w:highlight w:val="none"/>
                      <w:lang w:val="en-US" w:eastAsia="zh-CN"/>
                    </w:rPr>
                  </w:pPr>
                  <w:r>
                    <w:rPr>
                      <w:rFonts w:hint="eastAsia" w:cs="Times New Roman"/>
                      <w:color w:val="auto"/>
                      <w:kern w:val="0"/>
                      <w:sz w:val="21"/>
                      <w:szCs w:val="21"/>
                      <w:highlight w:val="none"/>
                      <w:lang w:val="en-US" w:eastAsia="zh-CN" w:bidi="ar-SA"/>
                    </w:rPr>
                    <w:t>外购,40L/罐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5</w:t>
                  </w:r>
                </w:p>
              </w:tc>
              <w:tc>
                <w:tcPr>
                  <w:tcW w:w="1139"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氧气</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640</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640</w:t>
                  </w:r>
                </w:p>
              </w:tc>
              <w:tc>
                <w:tcPr>
                  <w:tcW w:w="87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L/a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外购,40L/罐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6</w:t>
                  </w:r>
                </w:p>
              </w:tc>
              <w:tc>
                <w:tcPr>
                  <w:tcW w:w="1139" w:type="dxa"/>
                  <w:noWrap w:val="0"/>
                  <w:vAlign w:val="center"/>
                </w:tcPr>
                <w:p>
                  <w:pPr>
                    <w:widowControl/>
                    <w:snapToGrid w:val="0"/>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液氧</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175</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175</w:t>
                  </w:r>
                </w:p>
              </w:tc>
              <w:tc>
                <w:tcPr>
                  <w:tcW w:w="87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L/a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外购,175L/罐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7</w:t>
                  </w:r>
                </w:p>
              </w:tc>
              <w:tc>
                <w:tcPr>
                  <w:tcW w:w="1139" w:type="dxa"/>
                  <w:noWrap w:val="0"/>
                  <w:vAlign w:val="center"/>
                </w:tcPr>
                <w:p>
                  <w:pPr>
                    <w:widowControl/>
                    <w:snapToGrid w:val="0"/>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二氧化碳</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240</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240</w:t>
                  </w:r>
                </w:p>
              </w:tc>
              <w:tc>
                <w:tcPr>
                  <w:tcW w:w="87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L/a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外购,40L/罐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8</w:t>
                  </w:r>
                </w:p>
              </w:tc>
              <w:tc>
                <w:tcPr>
                  <w:tcW w:w="1139" w:type="dxa"/>
                  <w:noWrap w:val="0"/>
                  <w:vAlign w:val="center"/>
                </w:tcPr>
                <w:p>
                  <w:pPr>
                    <w:widowControl/>
                    <w:snapToGrid w:val="0"/>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焊条</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3.0</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3.0</w:t>
                  </w:r>
                </w:p>
              </w:tc>
              <w:tc>
                <w:tcPr>
                  <w:tcW w:w="87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t/a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外购</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9</w:t>
                  </w:r>
                </w:p>
              </w:tc>
              <w:tc>
                <w:tcPr>
                  <w:tcW w:w="1139" w:type="dxa"/>
                  <w:noWrap w:val="0"/>
                  <w:vAlign w:val="center"/>
                </w:tcPr>
                <w:p>
                  <w:pPr>
                    <w:widowControl/>
                    <w:snapToGrid w:val="0"/>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切削液</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0.1</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0.1</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0.2</w:t>
                  </w:r>
                </w:p>
              </w:tc>
              <w:tc>
                <w:tcPr>
                  <w:tcW w:w="87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t/a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外购,25kg/桶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w:t>
                  </w:r>
                </w:p>
              </w:tc>
              <w:tc>
                <w:tcPr>
                  <w:tcW w:w="1139" w:type="dxa"/>
                  <w:noWrap w:val="0"/>
                  <w:vAlign w:val="center"/>
                </w:tcPr>
                <w:p>
                  <w:pPr>
                    <w:widowControl/>
                    <w:snapToGrid w:val="0"/>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润滑油</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0.5</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0.5</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1.0</w:t>
                  </w:r>
                </w:p>
              </w:tc>
              <w:tc>
                <w:tcPr>
                  <w:tcW w:w="87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t/a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外购,25kg/桶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11</w:t>
                  </w:r>
                </w:p>
              </w:tc>
              <w:tc>
                <w:tcPr>
                  <w:tcW w:w="1139" w:type="dxa"/>
                  <w:noWrap w:val="0"/>
                  <w:vAlign w:val="center"/>
                </w:tcPr>
                <w:p>
                  <w:pPr>
                    <w:widowControl/>
                    <w:snapToGrid w:val="0"/>
                    <w:jc w:val="center"/>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液压油</w:t>
                  </w:r>
                </w:p>
              </w:tc>
              <w:tc>
                <w:tcPr>
                  <w:tcW w:w="1185" w:type="dxa"/>
                  <w:noWrap w:val="0"/>
                  <w:vAlign w:val="center"/>
                </w:tcPr>
                <w:p>
                  <w:pPr>
                    <w:widowControl/>
                    <w:snapToGrid w:val="0"/>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0.5</w:t>
                  </w:r>
                </w:p>
              </w:tc>
              <w:tc>
                <w:tcPr>
                  <w:tcW w:w="990" w:type="dxa"/>
                  <w:noWrap w:val="0"/>
                  <w:vAlign w:val="center"/>
                </w:tcPr>
                <w:p>
                  <w:pPr>
                    <w:widowControl/>
                    <w:snapToGrid w:val="0"/>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0.5</w:t>
                  </w:r>
                </w:p>
              </w:tc>
              <w:tc>
                <w:tcPr>
                  <w:tcW w:w="1200" w:type="dxa"/>
                  <w:noWrap w:val="0"/>
                  <w:vAlign w:val="center"/>
                </w:tcPr>
                <w:p>
                  <w:pPr>
                    <w:widowControl/>
                    <w:snapToGrid w:val="0"/>
                    <w:jc w:val="center"/>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1.0</w:t>
                  </w:r>
                </w:p>
              </w:tc>
              <w:tc>
                <w:tcPr>
                  <w:tcW w:w="870"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t/a</w:t>
                  </w:r>
                </w:p>
              </w:tc>
              <w:tc>
                <w:tcPr>
                  <w:tcW w:w="2915"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外购,25kg/桶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12</w:t>
                  </w:r>
                </w:p>
              </w:tc>
              <w:tc>
                <w:tcPr>
                  <w:tcW w:w="1139"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新水</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134.7</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9.9</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144.6</w:t>
                  </w:r>
                </w:p>
              </w:tc>
              <w:tc>
                <w:tcPr>
                  <w:tcW w:w="87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t/a</w:t>
                  </w:r>
                </w:p>
              </w:tc>
              <w:tc>
                <w:tcPr>
                  <w:tcW w:w="2915" w:type="dxa"/>
                  <w:noWrap w:val="0"/>
                  <w:vAlign w:val="center"/>
                </w:tcPr>
                <w:p>
                  <w:pPr>
                    <w:widowControl/>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河北迁安经济开发区供水管网统一提供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88"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13</w:t>
                  </w:r>
                </w:p>
              </w:tc>
              <w:tc>
                <w:tcPr>
                  <w:tcW w:w="1139"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电</w:t>
                  </w:r>
                </w:p>
              </w:tc>
              <w:tc>
                <w:tcPr>
                  <w:tcW w:w="118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39.14</w:t>
                  </w:r>
                </w:p>
              </w:tc>
              <w:tc>
                <w:tcPr>
                  <w:tcW w:w="99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100</w:t>
                  </w:r>
                </w:p>
              </w:tc>
              <w:tc>
                <w:tcPr>
                  <w:tcW w:w="120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139.14</w:t>
                  </w:r>
                </w:p>
              </w:tc>
              <w:tc>
                <w:tcPr>
                  <w:tcW w:w="870"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万kWh</w:t>
                  </w:r>
                  <w:r>
                    <w:rPr>
                      <w:rFonts w:hint="default" w:ascii="Times New Roman" w:hAnsi="Times New Roman" w:cs="Times New Roman"/>
                      <w:color w:val="auto"/>
                      <w:kern w:val="0"/>
                      <w:sz w:val="21"/>
                      <w:szCs w:val="21"/>
                      <w:highlight w:val="none"/>
                    </w:rPr>
                    <w:t>/a</w:t>
                  </w:r>
                </w:p>
              </w:tc>
              <w:tc>
                <w:tcPr>
                  <w:tcW w:w="2915" w:type="dxa"/>
                  <w:noWrap w:val="0"/>
                  <w:vAlign w:val="center"/>
                </w:tcPr>
                <w:p>
                  <w:pPr>
                    <w:widowControl/>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河北迁安经济开发区供电管网统一提供</w:t>
                  </w:r>
                </w:p>
              </w:tc>
            </w:tr>
          </w:tbl>
          <w:p>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ascii="Times New Roman" w:hAnsi="Times New Roman"/>
                <w:color w:val="auto"/>
                <w:sz w:val="24"/>
                <w:highlight w:val="none"/>
              </w:rPr>
            </w:pPr>
            <w:r>
              <w:rPr>
                <w:rFonts w:ascii="Times New Roman" w:hAnsi="Times New Roman"/>
                <w:color w:val="auto"/>
                <w:sz w:val="24"/>
                <w:highlight w:val="none"/>
              </w:rPr>
              <w:t>4、公用工程</w:t>
            </w:r>
          </w:p>
          <w:p>
            <w:pPr>
              <w:keepNext w:val="0"/>
              <w:keepLines w:val="0"/>
              <w:pageBreakBefore w:val="0"/>
              <w:kinsoku/>
              <w:wordWrap/>
              <w:overflowPunct/>
              <w:topLinePunct w:val="0"/>
              <w:bidi w:val="0"/>
              <w:snapToGrid/>
              <w:spacing w:line="360" w:lineRule="auto"/>
              <w:ind w:firstLine="480" w:firstLineChars="200"/>
              <w:textAlignment w:val="auto"/>
              <w:rPr>
                <w:rFonts w:ascii="Times New Roman" w:hAnsi="Times New Roman"/>
                <w:color w:val="auto"/>
                <w:sz w:val="24"/>
                <w:highlight w:val="none"/>
              </w:rPr>
            </w:pPr>
            <w:r>
              <w:rPr>
                <w:rFonts w:ascii="Times New Roman" w:hAnsi="Times New Roman"/>
                <w:color w:val="auto"/>
                <w:sz w:val="24"/>
                <w:highlight w:val="none"/>
              </w:rPr>
              <w:t>①供</w:t>
            </w:r>
            <w:r>
              <w:rPr>
                <w:rFonts w:ascii="Times New Roman" w:hAnsi="Times New Roman"/>
                <w:color w:val="auto"/>
                <w:kern w:val="0"/>
                <w:sz w:val="24"/>
                <w:highlight w:val="none"/>
              </w:rPr>
              <w:t>电：</w:t>
            </w:r>
            <w:r>
              <w:rPr>
                <w:rFonts w:hint="eastAsia" w:ascii="Times New Roman" w:hAnsi="Times New Roman"/>
                <w:color w:val="auto"/>
                <w:kern w:val="0"/>
                <w:sz w:val="24"/>
                <w:highlight w:val="none"/>
              </w:rPr>
              <w:t>由</w:t>
            </w:r>
            <w:r>
              <w:rPr>
                <w:rFonts w:hint="eastAsia" w:ascii="Times New Roman" w:hAnsi="Times New Roman"/>
                <w:color w:val="auto"/>
                <w:kern w:val="0"/>
                <w:sz w:val="24"/>
                <w:highlight w:val="none"/>
                <w:lang w:val="en-US" w:eastAsia="zh-CN"/>
              </w:rPr>
              <w:t>河北迁安经济开发区供电管网统一提供</w:t>
            </w:r>
            <w:r>
              <w:rPr>
                <w:rFonts w:hint="eastAsia" w:ascii="Times New Roman" w:hAnsi="Times New Roman"/>
                <w:color w:val="auto"/>
                <w:kern w:val="0"/>
                <w:sz w:val="24"/>
                <w:highlight w:val="none"/>
              </w:rPr>
              <w:t>，</w:t>
            </w:r>
            <w:r>
              <w:rPr>
                <w:rFonts w:hint="eastAsia" w:ascii="Times New Roman" w:hAnsi="Times New Roman"/>
                <w:color w:val="auto"/>
                <w:kern w:val="0"/>
                <w:sz w:val="24"/>
                <w:highlight w:val="none"/>
                <w:lang w:eastAsia="zh-CN"/>
              </w:rPr>
              <w:t>技改项目</w:t>
            </w:r>
            <w:r>
              <w:rPr>
                <w:rFonts w:ascii="Times New Roman" w:hAnsi="Times New Roman"/>
                <w:color w:val="auto"/>
                <w:kern w:val="0"/>
                <w:sz w:val="24"/>
                <w:highlight w:val="none"/>
              </w:rPr>
              <w:t>年用电</w:t>
            </w:r>
            <w:r>
              <w:rPr>
                <w:rFonts w:hint="eastAsia" w:ascii="Times New Roman" w:hAnsi="Times New Roman"/>
                <w:color w:val="auto"/>
                <w:kern w:val="0"/>
                <w:sz w:val="24"/>
                <w:highlight w:val="none"/>
                <w:lang w:val="en-US" w:eastAsia="zh-CN"/>
              </w:rPr>
              <w:t>100</w:t>
            </w:r>
            <w:r>
              <w:rPr>
                <w:rFonts w:ascii="Times New Roman" w:hAnsi="Times New Roman"/>
                <w:color w:val="auto"/>
                <w:kern w:val="0"/>
                <w:sz w:val="24"/>
                <w:highlight w:val="none"/>
              </w:rPr>
              <w:t>万kwh</w:t>
            </w:r>
            <w:r>
              <w:rPr>
                <w:rFonts w:hint="eastAsia" w:ascii="Times New Roman" w:hAnsi="Times New Roman"/>
                <w:color w:val="auto"/>
                <w:kern w:val="0"/>
                <w:sz w:val="24"/>
                <w:highlight w:val="none"/>
                <w:lang w:eastAsia="zh-CN"/>
              </w:rPr>
              <w:t>，技改后全厂</w:t>
            </w:r>
            <w:r>
              <w:rPr>
                <w:rFonts w:ascii="Times New Roman" w:hAnsi="Times New Roman"/>
                <w:color w:val="auto"/>
                <w:kern w:val="0"/>
                <w:sz w:val="24"/>
                <w:highlight w:val="none"/>
              </w:rPr>
              <w:t>年用电</w:t>
            </w:r>
            <w:r>
              <w:rPr>
                <w:rFonts w:hint="eastAsia"/>
                <w:color w:val="auto"/>
                <w:kern w:val="0"/>
                <w:sz w:val="24"/>
                <w:highlight w:val="none"/>
                <w:lang w:val="en-US" w:eastAsia="zh-CN"/>
              </w:rPr>
              <w:t>139.14</w:t>
            </w:r>
            <w:r>
              <w:rPr>
                <w:rFonts w:ascii="Times New Roman" w:hAnsi="Times New Roman"/>
                <w:color w:val="auto"/>
                <w:kern w:val="0"/>
                <w:sz w:val="24"/>
                <w:highlight w:val="none"/>
              </w:rPr>
              <w:t>万kwh。</w:t>
            </w:r>
          </w:p>
          <w:p>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ascii="Times New Roman" w:hAnsi="Times New Roman"/>
                <w:color w:val="auto"/>
                <w:sz w:val="24"/>
                <w:highlight w:val="none"/>
              </w:rPr>
            </w:pPr>
            <w:r>
              <w:rPr>
                <w:rFonts w:ascii="Times New Roman" w:hAnsi="Times New Roman"/>
                <w:color w:val="auto"/>
                <w:sz w:val="24"/>
                <w:highlight w:val="none"/>
              </w:rPr>
              <w:t>②供热：</w:t>
            </w:r>
            <w:r>
              <w:rPr>
                <w:rFonts w:hint="eastAsia" w:ascii="Times New Roman" w:hAnsi="Times New Roman"/>
                <w:color w:val="auto"/>
                <w:sz w:val="24"/>
                <w:highlight w:val="none"/>
                <w:lang w:eastAsia="zh-CN"/>
              </w:rPr>
              <w:t>技改项目</w:t>
            </w:r>
            <w:r>
              <w:rPr>
                <w:rFonts w:hint="default" w:ascii="Times New Roman" w:hAnsi="Times New Roman"/>
                <w:color w:val="auto"/>
                <w:kern w:val="0"/>
                <w:sz w:val="24"/>
                <w:highlight w:val="none"/>
                <w:lang w:eastAsia="zh-CN"/>
              </w:rPr>
              <w:t>生产</w:t>
            </w:r>
            <w:r>
              <w:rPr>
                <w:rFonts w:hint="eastAsia" w:ascii="Times New Roman" w:hAnsi="Times New Roman"/>
                <w:color w:val="auto"/>
                <w:kern w:val="0"/>
                <w:sz w:val="24"/>
                <w:highlight w:val="none"/>
                <w:lang w:eastAsia="zh-CN"/>
              </w:rPr>
              <w:t>过程为电加热</w:t>
            </w:r>
            <w:r>
              <w:rPr>
                <w:rFonts w:hint="default" w:ascii="Times New Roman" w:hAnsi="Times New Roman"/>
                <w:color w:val="auto"/>
                <w:kern w:val="0"/>
                <w:sz w:val="24"/>
                <w:highlight w:val="none"/>
                <w:lang w:eastAsia="zh-CN"/>
              </w:rPr>
              <w:t>；生活用热</w:t>
            </w:r>
            <w:r>
              <w:rPr>
                <w:rFonts w:hint="eastAsia" w:ascii="Times New Roman" w:hAnsi="Times New Roman"/>
                <w:color w:val="auto"/>
                <w:kern w:val="0"/>
                <w:sz w:val="24"/>
                <w:highlight w:val="none"/>
                <w:lang w:eastAsia="zh-CN"/>
              </w:rPr>
              <w:t>依托现有工程，</w:t>
            </w:r>
            <w:r>
              <w:rPr>
                <w:rFonts w:hint="default" w:ascii="Times New Roman" w:hAnsi="Times New Roman"/>
                <w:color w:val="auto"/>
                <w:kern w:val="0"/>
                <w:sz w:val="24"/>
                <w:highlight w:val="none"/>
                <w:lang w:eastAsia="zh-CN"/>
              </w:rPr>
              <w:t>使用空调</w:t>
            </w:r>
            <w:r>
              <w:rPr>
                <w:rFonts w:ascii="Times New Roman" w:hAnsi="Times New Roman"/>
                <w:color w:val="auto"/>
                <w:kern w:val="0"/>
                <w:sz w:val="24"/>
                <w:highlight w:val="none"/>
              </w:rPr>
              <w:t>。</w:t>
            </w:r>
          </w:p>
          <w:p>
            <w:pPr>
              <w:keepNext w:val="0"/>
              <w:keepLines w:val="0"/>
              <w:pageBreakBefore w:val="0"/>
              <w:kinsoku/>
              <w:wordWrap/>
              <w:overflowPunct/>
              <w:topLinePunct w:val="0"/>
              <w:bidi w:val="0"/>
              <w:snapToGrid/>
              <w:spacing w:line="360" w:lineRule="auto"/>
              <w:ind w:firstLine="480" w:firstLineChars="200"/>
              <w:textAlignment w:val="auto"/>
              <w:rPr>
                <w:rFonts w:hint="eastAsia" w:ascii="Times New Roman" w:hAnsi="Times New Roman"/>
                <w:color w:val="auto"/>
                <w:kern w:val="0"/>
                <w:sz w:val="24"/>
                <w:highlight w:val="none"/>
                <w:lang w:eastAsia="zh-CN"/>
              </w:rPr>
            </w:pPr>
            <w:r>
              <w:rPr>
                <w:rFonts w:ascii="Times New Roman" w:hAnsi="Times New Roman"/>
                <w:color w:val="auto"/>
                <w:sz w:val="24"/>
                <w:highlight w:val="none"/>
              </w:rPr>
              <w:t>③给水</w:t>
            </w:r>
            <w:r>
              <w:rPr>
                <w:rFonts w:ascii="Times New Roman" w:hAnsi="Times New Roman"/>
                <w:color w:val="auto"/>
                <w:kern w:val="0"/>
                <w:sz w:val="24"/>
                <w:highlight w:val="none"/>
              </w:rPr>
              <w:t>：</w:t>
            </w:r>
            <w:r>
              <w:rPr>
                <w:rFonts w:hint="eastAsia" w:ascii="Times New Roman" w:hAnsi="Times New Roman"/>
                <w:color w:val="auto"/>
                <w:kern w:val="0"/>
                <w:sz w:val="24"/>
                <w:highlight w:val="none"/>
                <w:lang w:eastAsia="zh-CN"/>
              </w:rPr>
              <w:t>技改</w:t>
            </w:r>
            <w:r>
              <w:rPr>
                <w:rFonts w:hint="eastAsia" w:ascii="Times New Roman" w:hAnsi="Times New Roman"/>
                <w:color w:val="auto"/>
                <w:kern w:val="0"/>
                <w:sz w:val="24"/>
                <w:highlight w:val="none"/>
              </w:rPr>
              <w:t>项目</w:t>
            </w:r>
            <w:r>
              <w:rPr>
                <w:rFonts w:hint="eastAsia" w:ascii="Times New Roman" w:hAnsi="Times New Roman"/>
                <w:color w:val="auto"/>
                <w:kern w:val="0"/>
                <w:sz w:val="24"/>
                <w:highlight w:val="none"/>
                <w:lang w:eastAsia="zh-CN"/>
              </w:rPr>
              <w:t>无新增</w:t>
            </w:r>
            <w:r>
              <w:rPr>
                <w:rFonts w:hint="eastAsia"/>
                <w:color w:val="auto"/>
                <w:kern w:val="0"/>
                <w:sz w:val="24"/>
                <w:highlight w:val="none"/>
                <w:lang w:eastAsia="zh-CN"/>
              </w:rPr>
              <w:t>生活</w:t>
            </w:r>
            <w:r>
              <w:rPr>
                <w:rFonts w:hint="eastAsia" w:ascii="Times New Roman" w:hAnsi="Times New Roman"/>
                <w:color w:val="auto"/>
                <w:kern w:val="0"/>
                <w:sz w:val="24"/>
                <w:highlight w:val="none"/>
                <w:lang w:eastAsia="zh-CN"/>
              </w:rPr>
              <w:t>用水</w:t>
            </w:r>
            <w:r>
              <w:rPr>
                <w:rFonts w:hint="eastAsia"/>
                <w:color w:val="auto"/>
                <w:kern w:val="0"/>
                <w:sz w:val="24"/>
                <w:highlight w:val="none"/>
                <w:lang w:eastAsia="zh-CN"/>
              </w:rPr>
              <w:t>，新增用水仅为切削液配置用水</w:t>
            </w:r>
            <w:r>
              <w:rPr>
                <w:rFonts w:hint="eastAsia" w:ascii="Times New Roman" w:hAnsi="Times New Roman"/>
                <w:color w:val="auto"/>
                <w:kern w:val="0"/>
                <w:sz w:val="24"/>
                <w:highlight w:val="none"/>
                <w:lang w:eastAsia="zh-CN"/>
              </w:rPr>
              <w:t>。</w:t>
            </w:r>
          </w:p>
          <w:p>
            <w:pPr>
              <w:keepNext w:val="0"/>
              <w:keepLines w:val="0"/>
              <w:pageBreakBefore w:val="0"/>
              <w:kinsoku/>
              <w:wordWrap/>
              <w:overflowPunct/>
              <w:topLinePunct w:val="0"/>
              <w:bidi w:val="0"/>
              <w:snapToGrid/>
              <w:spacing w:line="360" w:lineRule="auto"/>
              <w:ind w:firstLine="480" w:firstLineChars="200"/>
              <w:textAlignment w:val="auto"/>
              <w:rPr>
                <w:rFonts w:hint="default" w:ascii="Times New Roman" w:hAnsi="Times New Roman"/>
                <w:color w:val="auto"/>
                <w:kern w:val="0"/>
                <w:sz w:val="24"/>
                <w:highlight w:val="none"/>
                <w:lang w:val="en-US" w:eastAsia="zh-CN"/>
              </w:rPr>
            </w:pPr>
            <w:r>
              <w:rPr>
                <w:rFonts w:hint="eastAsia" w:ascii="Times New Roman" w:hAnsi="Times New Roman"/>
                <w:color w:val="auto"/>
                <w:kern w:val="0"/>
                <w:sz w:val="24"/>
                <w:highlight w:val="none"/>
                <w:lang w:val="en-US" w:eastAsia="zh-CN"/>
              </w:rPr>
              <w:t>1）现有工程水平衡</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textAlignment w:val="auto"/>
              <w:rPr>
                <w:rFonts w:ascii="Times New Roman" w:hAnsi="Times New Roman"/>
                <w:color w:val="auto"/>
                <w:highlight w:val="none"/>
              </w:rPr>
            </w:pPr>
            <w:r>
              <w:rPr>
                <w:rFonts w:hint="eastAsia" w:ascii="Times New Roman" w:hAnsi="Times New Roman"/>
                <w:color w:val="auto"/>
                <w:highlight w:val="none"/>
                <w:lang w:eastAsia="zh-CN"/>
              </w:rPr>
              <w:t>给水：</w:t>
            </w:r>
            <w:r>
              <w:rPr>
                <w:rFonts w:ascii="Times New Roman" w:hAnsi="Times New Roman"/>
                <w:color w:val="auto"/>
                <w:highlight w:val="none"/>
              </w:rPr>
              <w:t>项目</w:t>
            </w:r>
            <w:r>
              <w:rPr>
                <w:rFonts w:hint="eastAsia" w:ascii="Times New Roman" w:hAnsi="Times New Roman"/>
                <w:color w:val="auto"/>
                <w:highlight w:val="none"/>
                <w:lang w:eastAsia="zh-CN"/>
              </w:rPr>
              <w:t>现有工程</w:t>
            </w:r>
            <w:r>
              <w:rPr>
                <w:rFonts w:ascii="Times New Roman" w:hAnsi="Times New Roman"/>
                <w:color w:val="auto"/>
                <w:highlight w:val="none"/>
              </w:rPr>
              <w:t>用水由河北迁安经济开发区供水管网统一提供。项目不设食堂、宿舍和洗浴设施，厕所为水冲厕。项目用水主要生活用水和绿化用水。项目劳动定员为10人，根据《河北省用水定额》（DB13/T1161.3-2016）和企业实际用水情况，生活用水量按1.2m</w:t>
            </w:r>
            <w:r>
              <w:rPr>
                <w:rFonts w:hint="eastAsia" w:ascii="Times New Roman" w:hAnsi="Times New Roman"/>
                <w:color w:val="auto"/>
                <w:highlight w:val="none"/>
                <w:vertAlign w:val="superscript"/>
                <w:lang w:val="en-US" w:eastAsia="zh-CN"/>
              </w:rPr>
              <w:t>3</w:t>
            </w:r>
            <w:r>
              <w:rPr>
                <w:rFonts w:ascii="Times New Roman" w:hAnsi="Times New Roman"/>
                <w:color w:val="auto"/>
                <w:highlight w:val="none"/>
              </w:rPr>
              <w:t>/（人·月）计算，则生活用总水量为0.</w:t>
            </w:r>
            <w:r>
              <w:rPr>
                <w:rFonts w:hint="eastAsia" w:ascii="Times New Roman" w:hAnsi="Times New Roman"/>
                <w:color w:val="auto"/>
                <w:highlight w:val="none"/>
                <w:lang w:val="en-US" w:eastAsia="zh-CN"/>
              </w:rPr>
              <w:t>4</w:t>
            </w:r>
            <w:r>
              <w:rPr>
                <w:rFonts w:ascii="Times New Roman" w:hAnsi="Times New Roman"/>
                <w:color w:val="auto"/>
                <w:highlight w:val="none"/>
              </w:rPr>
              <w:t>m</w:t>
            </w:r>
            <w:r>
              <w:rPr>
                <w:rFonts w:hint="eastAsia" w:ascii="Times New Roman" w:hAnsi="Times New Roman"/>
                <w:color w:val="auto"/>
                <w:highlight w:val="none"/>
                <w:vertAlign w:val="superscript"/>
                <w:lang w:val="en-US" w:eastAsia="zh-CN"/>
              </w:rPr>
              <w:t>3</w:t>
            </w:r>
            <w:r>
              <w:rPr>
                <w:rFonts w:ascii="Times New Roman" w:hAnsi="Times New Roman"/>
                <w:color w:val="auto"/>
                <w:highlight w:val="none"/>
              </w:rPr>
              <w:t>/d。</w:t>
            </w:r>
            <w:r>
              <w:rPr>
                <w:rFonts w:hint="eastAsia" w:ascii="Times New Roman" w:hAnsi="Times New Roman"/>
                <w:color w:val="auto"/>
                <w:highlight w:val="none"/>
                <w:lang w:val="en-US" w:eastAsia="zh-CN"/>
              </w:rPr>
              <w:t>现有工程切削液用量为0.1t/a，加入新鲜水配置，切削液：新鲜水为1:99，加入新鲜水量为0.0317m</w:t>
            </w:r>
            <w:r>
              <w:rPr>
                <w:rFonts w:hint="eastAsia" w:ascii="Times New Roman" w:hAnsi="Times New Roman"/>
                <w:color w:val="auto"/>
                <w:highlight w:val="none"/>
                <w:vertAlign w:val="superscript"/>
                <w:lang w:val="en-US" w:eastAsia="zh-CN"/>
              </w:rPr>
              <w:t>3</w:t>
            </w:r>
            <w:r>
              <w:rPr>
                <w:rFonts w:hint="eastAsia" w:ascii="Times New Roman" w:hAnsi="Times New Roman"/>
                <w:color w:val="auto"/>
                <w:highlight w:val="none"/>
                <w:lang w:val="en-US" w:eastAsia="zh-CN"/>
              </w:rPr>
              <w:t>/d（9.9t/a）。</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textAlignment w:val="auto"/>
              <w:rPr>
                <w:rFonts w:ascii="Times New Roman" w:hAnsi="Times New Roman"/>
                <w:color w:val="auto"/>
                <w:highlight w:val="none"/>
              </w:rPr>
            </w:pPr>
            <w:r>
              <w:rPr>
                <w:rFonts w:ascii="Times New Roman" w:hAnsi="Times New Roman"/>
                <w:color w:val="auto"/>
                <w:highlight w:val="none"/>
              </w:rPr>
              <w:t>排水</w:t>
            </w:r>
            <w:r>
              <w:rPr>
                <w:rFonts w:hint="eastAsia" w:ascii="Times New Roman" w:hAnsi="Times New Roman"/>
                <w:color w:val="auto"/>
                <w:highlight w:val="none"/>
                <w:lang w:eastAsia="zh-CN"/>
              </w:rPr>
              <w:t>：</w:t>
            </w:r>
            <w:r>
              <w:rPr>
                <w:rFonts w:ascii="Times New Roman" w:hAnsi="Times New Roman"/>
                <w:color w:val="auto"/>
                <w:highlight w:val="none"/>
              </w:rPr>
              <w:t>项目</w:t>
            </w:r>
            <w:r>
              <w:rPr>
                <w:rFonts w:hint="eastAsia" w:ascii="Times New Roman" w:hAnsi="Times New Roman"/>
                <w:color w:val="auto"/>
                <w:highlight w:val="none"/>
                <w:lang w:eastAsia="zh-CN"/>
              </w:rPr>
              <w:t>现有工程</w:t>
            </w:r>
            <w:r>
              <w:rPr>
                <w:rFonts w:ascii="Times New Roman" w:hAnsi="Times New Roman"/>
                <w:color w:val="auto"/>
                <w:highlight w:val="none"/>
              </w:rPr>
              <w:t>废水主要为生活污水，其产生量按用水量的80%计算</w:t>
            </w:r>
            <w:r>
              <w:rPr>
                <w:rFonts w:hint="eastAsia" w:ascii="Times New Roman" w:hAnsi="Times New Roman"/>
                <w:color w:val="auto"/>
                <w:highlight w:val="none"/>
                <w:lang w:eastAsia="zh-CN"/>
              </w:rPr>
              <w:t>，</w:t>
            </w:r>
            <w:r>
              <w:rPr>
                <w:rFonts w:ascii="Times New Roman" w:hAnsi="Times New Roman"/>
                <w:color w:val="auto"/>
                <w:highlight w:val="none"/>
              </w:rPr>
              <w:t>为0.</w:t>
            </w:r>
            <w:r>
              <w:rPr>
                <w:rFonts w:hint="eastAsia" w:ascii="Times New Roman" w:hAnsi="Times New Roman"/>
                <w:color w:val="auto"/>
                <w:highlight w:val="none"/>
                <w:lang w:val="en-US" w:eastAsia="zh-CN"/>
              </w:rPr>
              <w:t>32</w:t>
            </w:r>
            <w:r>
              <w:rPr>
                <w:rFonts w:ascii="Times New Roman" w:hAnsi="Times New Roman"/>
                <w:color w:val="auto"/>
                <w:highlight w:val="none"/>
              </w:rPr>
              <w:t>m²/d。生活污水排入河北迁安经济开发区污水管网，由迁安市大西区建设开发有限公司污水处理厂处理。</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center"/>
              <w:textAlignment w:val="auto"/>
              <w:rPr>
                <w:rFonts w:hint="default" w:ascii="Times New Roman" w:hAnsi="Times New Roman"/>
                <w:color w:val="auto"/>
                <w:highlight w:val="none"/>
                <w:lang w:val="en-US" w:eastAsia="zh-CN"/>
              </w:rPr>
            </w:pP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center"/>
              <w:textAlignment w:val="auto"/>
              <w:rPr>
                <w:rFonts w:hint="default" w:ascii="Times New Roman" w:hAnsi="Times New Roman"/>
                <w:color w:val="auto"/>
                <w:highlight w:val="none"/>
                <w:lang w:val="en-US" w:eastAsia="zh-CN"/>
              </w:rPr>
            </w:pP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center"/>
              <w:textAlignment w:val="auto"/>
              <w:rPr>
                <w:rFonts w:hint="default" w:ascii="Times New Roman" w:hAnsi="Times New Roman"/>
                <w:color w:val="auto"/>
                <w:highlight w:val="none"/>
                <w:lang w:val="en-US" w:eastAsia="zh-CN"/>
              </w:rPr>
            </w:pP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center"/>
              <w:textAlignment w:val="auto"/>
              <w:rPr>
                <w:rFonts w:hint="default" w:ascii="Times New Roman" w:hAnsi="Times New Roman"/>
                <w:color w:val="auto"/>
                <w:highlight w:val="none"/>
                <w:lang w:val="en-US" w:eastAsia="zh-CN"/>
              </w:rPr>
            </w:pPr>
            <w:r>
              <w:rPr>
                <w:color w:val="auto"/>
                <w:highlight w:val="none"/>
              </w:rPr>
              <w:drawing>
                <wp:anchor distT="0" distB="0" distL="114300" distR="114300" simplePos="0" relativeHeight="251756544" behindDoc="0" locked="0" layoutInCell="1" allowOverlap="1">
                  <wp:simplePos x="0" y="0"/>
                  <wp:positionH relativeFrom="column">
                    <wp:posOffset>1061720</wp:posOffset>
                  </wp:positionH>
                  <wp:positionV relativeFrom="paragraph">
                    <wp:posOffset>33655</wp:posOffset>
                  </wp:positionV>
                  <wp:extent cx="3510915" cy="1077595"/>
                  <wp:effectExtent l="0" t="0" r="13335" b="8255"/>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3510915" cy="1077595"/>
                          </a:xfrm>
                          <a:prstGeom prst="rect">
                            <a:avLst/>
                          </a:prstGeom>
                          <a:noFill/>
                          <a:ln>
                            <a:noFill/>
                          </a:ln>
                        </pic:spPr>
                      </pic:pic>
                    </a:graphicData>
                  </a:graphic>
                </wp:anchor>
              </w:drawing>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center"/>
              <w:textAlignment w:val="auto"/>
              <w:rPr>
                <w:rFonts w:hint="default" w:ascii="Times New Roman" w:hAnsi="Times New Roman"/>
                <w:color w:val="auto"/>
                <w:highlight w:val="none"/>
                <w:lang w:val="en-US" w:eastAsia="zh-CN"/>
              </w:rPr>
            </w:pP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center"/>
              <w:textAlignment w:val="auto"/>
              <w:rPr>
                <w:rFonts w:hint="default" w:ascii="Times New Roman" w:hAnsi="Times New Roman"/>
                <w:color w:val="auto"/>
                <w:highlight w:val="none"/>
                <w:lang w:val="en-US" w:eastAsia="zh-CN"/>
              </w:rPr>
            </w:pP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center"/>
              <w:textAlignment w:val="auto"/>
              <w:rPr>
                <w:rFonts w:hint="default" w:ascii="Times New Roman" w:hAnsi="Times New Roman"/>
                <w:color w:val="auto"/>
                <w:highlight w:val="none"/>
                <w:lang w:val="en-US" w:eastAsia="zh-CN"/>
              </w:rPr>
            </w:pPr>
          </w:p>
          <w:p>
            <w:pPr>
              <w:pStyle w:val="2"/>
              <w:jc w:val="center"/>
              <w:rPr>
                <w:rFonts w:hint="eastAsia" w:ascii="Times New Roman" w:hAnsi="Times New Roman"/>
                <w:color w:val="auto"/>
                <w:highlight w:val="none"/>
                <w:lang w:val="en-US" w:eastAsia="zh-CN"/>
              </w:rPr>
            </w:pPr>
            <w:r>
              <w:rPr>
                <w:rFonts w:hint="default" w:ascii="Times New Roman" w:hAnsi="Times New Roman" w:cs="Times New Roman" w:eastAsiaTheme="minorEastAsia"/>
                <w:color w:val="auto"/>
                <w:kern w:val="0"/>
                <w:sz w:val="24"/>
                <w:highlight w:val="none"/>
                <w:lang w:val="en-US" w:eastAsia="zh-CN"/>
              </w:rPr>
              <w:t>图</w:t>
            </w:r>
            <w:r>
              <w:rPr>
                <w:rFonts w:hint="eastAsia" w:ascii="Times New Roman" w:cs="Times New Roman" w:eastAsiaTheme="minorEastAsia"/>
                <w:color w:val="auto"/>
                <w:kern w:val="0"/>
                <w:sz w:val="24"/>
                <w:highlight w:val="none"/>
                <w:lang w:val="en-US" w:eastAsia="zh-CN"/>
              </w:rPr>
              <w:t>3</w:t>
            </w:r>
            <w:r>
              <w:rPr>
                <w:rFonts w:hint="default" w:ascii="Times New Roman" w:hAnsi="Times New Roman" w:cs="Times New Roman" w:eastAsiaTheme="minorEastAsia"/>
                <w:color w:val="auto"/>
                <w:kern w:val="0"/>
                <w:sz w:val="24"/>
                <w:highlight w:val="none"/>
                <w:lang w:val="en-US" w:eastAsia="zh-CN"/>
              </w:rPr>
              <w:t xml:space="preserve">  </w:t>
            </w:r>
            <w:r>
              <w:rPr>
                <w:rFonts w:hint="eastAsia" w:ascii="Times New Roman" w:hAnsi="Times New Roman" w:cs="Times New Roman" w:eastAsiaTheme="minorEastAsia"/>
                <w:color w:val="auto"/>
                <w:kern w:val="0"/>
                <w:sz w:val="24"/>
                <w:highlight w:val="none"/>
                <w:lang w:val="en-US" w:eastAsia="zh-CN"/>
              </w:rPr>
              <w:t>技改</w:t>
            </w:r>
            <w:r>
              <w:rPr>
                <w:rFonts w:hint="eastAsia" w:ascii="Times New Roman" w:cs="Times New Roman" w:eastAsiaTheme="minorEastAsia"/>
                <w:color w:val="auto"/>
                <w:kern w:val="0"/>
                <w:sz w:val="24"/>
                <w:highlight w:val="none"/>
                <w:lang w:val="en-US" w:eastAsia="zh-CN"/>
              </w:rPr>
              <w:t>前</w:t>
            </w:r>
            <w:r>
              <w:rPr>
                <w:rFonts w:hint="default" w:ascii="Times New Roman" w:hAnsi="Times New Roman" w:cs="Times New Roman" w:eastAsiaTheme="minorEastAsia"/>
                <w:color w:val="auto"/>
                <w:kern w:val="0"/>
                <w:sz w:val="24"/>
                <w:highlight w:val="none"/>
                <w:lang w:val="en-US" w:eastAsia="zh-CN"/>
              </w:rPr>
              <w:t>全厂水量平衡图   m</w:t>
            </w:r>
            <w:r>
              <w:rPr>
                <w:rFonts w:hint="default" w:ascii="Times New Roman" w:hAnsi="Times New Roman" w:cs="Times New Roman" w:eastAsiaTheme="minorEastAsia"/>
                <w:color w:val="auto"/>
                <w:kern w:val="0"/>
                <w:sz w:val="24"/>
                <w:highlight w:val="none"/>
                <w:vertAlign w:val="superscript"/>
                <w:lang w:val="en-US" w:eastAsia="zh-CN"/>
              </w:rPr>
              <w:t>3</w:t>
            </w:r>
            <w:r>
              <w:rPr>
                <w:rFonts w:hint="default" w:ascii="Times New Roman" w:hAnsi="Times New Roman" w:cs="Times New Roman" w:eastAsiaTheme="minorEastAsia"/>
                <w:color w:val="auto"/>
                <w:kern w:val="0"/>
                <w:sz w:val="24"/>
                <w:highlight w:val="none"/>
                <w:lang w:val="en-US" w:eastAsia="zh-CN"/>
              </w:rPr>
              <w:t>/d</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2）技改项目建成后全厂水平衡</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textAlignment w:val="auto"/>
              <w:rPr>
                <w:rFonts w:ascii="Times New Roman" w:hAnsi="Times New Roman"/>
                <w:color w:val="auto"/>
                <w:highlight w:val="none"/>
              </w:rPr>
            </w:pPr>
            <w:r>
              <w:rPr>
                <w:rFonts w:hint="eastAsia" w:ascii="Times New Roman" w:hAnsi="Times New Roman"/>
                <w:color w:val="auto"/>
                <w:highlight w:val="none"/>
                <w:lang w:val="en-US" w:eastAsia="zh-CN"/>
              </w:rPr>
              <w:t>技改项目不新增劳动定员，所需员工由现有工程调配，无新增生活用水。技改项目新增生产用水为切削液配置用水，切削液用量为0.1t/a，加入新鲜水配置，切削液：新鲜水为1:99，加入新鲜水量为0.0317m</w:t>
            </w:r>
            <w:r>
              <w:rPr>
                <w:rFonts w:hint="eastAsia" w:ascii="Times New Roman" w:hAnsi="Times New Roman"/>
                <w:color w:val="auto"/>
                <w:highlight w:val="none"/>
                <w:vertAlign w:val="superscript"/>
                <w:lang w:val="en-US" w:eastAsia="zh-CN"/>
              </w:rPr>
              <w:t>3</w:t>
            </w:r>
            <w:r>
              <w:rPr>
                <w:rFonts w:hint="eastAsia" w:ascii="Times New Roman" w:hAnsi="Times New Roman"/>
                <w:color w:val="auto"/>
                <w:highlight w:val="none"/>
                <w:lang w:val="en-US" w:eastAsia="zh-CN"/>
              </w:rPr>
              <w:t>/d（9.9t/a）。</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center"/>
              <w:textAlignment w:val="auto"/>
              <w:rPr>
                <w:rFonts w:hint="default" w:ascii="Times New Roman" w:hAnsi="Times New Roman"/>
                <w:color w:val="auto"/>
                <w:highlight w:val="none"/>
                <w:lang w:val="en-US" w:eastAsia="zh-CN"/>
              </w:rPr>
            </w:pPr>
            <w:r>
              <w:rPr>
                <w:color w:val="auto"/>
                <w:highlight w:val="none"/>
              </w:rPr>
              <w:drawing>
                <wp:inline distT="0" distB="0" distL="114300" distR="114300">
                  <wp:extent cx="3101975" cy="693420"/>
                  <wp:effectExtent l="0" t="0" r="3175" b="1143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8"/>
                          <a:stretch>
                            <a:fillRect/>
                          </a:stretch>
                        </pic:blipFill>
                        <pic:spPr>
                          <a:xfrm>
                            <a:off x="0" y="0"/>
                            <a:ext cx="3101975" cy="693420"/>
                          </a:xfrm>
                          <a:prstGeom prst="rect">
                            <a:avLst/>
                          </a:prstGeom>
                          <a:noFill/>
                          <a:ln>
                            <a:noFill/>
                          </a:ln>
                        </pic:spPr>
                      </pic:pic>
                    </a:graphicData>
                  </a:graphic>
                </wp:inline>
              </w:drawing>
            </w:r>
          </w:p>
          <w:p>
            <w:pPr>
              <w:pStyle w:val="2"/>
              <w:jc w:val="center"/>
              <w:rPr>
                <w:rFonts w:hint="default" w:ascii="Times New Roman" w:hAnsi="Times New Roman" w:cs="Times New Roman"/>
                <w:color w:val="auto"/>
                <w:highlight w:val="none"/>
                <w:lang w:val="en-US" w:eastAsia="zh-CN"/>
              </w:rPr>
            </w:pPr>
            <w:r>
              <w:rPr>
                <w:rFonts w:hint="default" w:ascii="Times New Roman" w:hAnsi="Times New Roman" w:cs="Times New Roman" w:eastAsiaTheme="minorEastAsia"/>
                <w:color w:val="auto"/>
                <w:kern w:val="0"/>
                <w:sz w:val="24"/>
                <w:highlight w:val="none"/>
                <w:lang w:val="en-US" w:eastAsia="zh-CN"/>
              </w:rPr>
              <w:t>图</w:t>
            </w:r>
            <w:r>
              <w:rPr>
                <w:rFonts w:hint="eastAsia" w:ascii="Times New Roman" w:cs="Times New Roman" w:eastAsiaTheme="minorEastAsia"/>
                <w:color w:val="auto"/>
                <w:kern w:val="0"/>
                <w:sz w:val="24"/>
                <w:highlight w:val="none"/>
                <w:lang w:val="en-US" w:eastAsia="zh-CN"/>
              </w:rPr>
              <w:t>4</w:t>
            </w:r>
            <w:r>
              <w:rPr>
                <w:rFonts w:hint="default" w:ascii="Times New Roman" w:hAnsi="Times New Roman" w:cs="Times New Roman" w:eastAsiaTheme="minorEastAsia"/>
                <w:color w:val="auto"/>
                <w:kern w:val="0"/>
                <w:sz w:val="24"/>
                <w:highlight w:val="none"/>
                <w:lang w:val="en-US" w:eastAsia="zh-CN"/>
              </w:rPr>
              <w:t xml:space="preserve">  </w:t>
            </w:r>
            <w:r>
              <w:rPr>
                <w:rFonts w:hint="eastAsia" w:ascii="Times New Roman" w:hAnsi="Times New Roman" w:cs="Times New Roman" w:eastAsiaTheme="minorEastAsia"/>
                <w:color w:val="auto"/>
                <w:kern w:val="0"/>
                <w:sz w:val="24"/>
                <w:highlight w:val="none"/>
                <w:lang w:val="en-US" w:eastAsia="zh-CN"/>
              </w:rPr>
              <w:t>技改</w:t>
            </w:r>
            <w:r>
              <w:rPr>
                <w:rFonts w:hint="default" w:ascii="Times New Roman" w:hAnsi="Times New Roman" w:cs="Times New Roman" w:eastAsiaTheme="minorEastAsia"/>
                <w:color w:val="auto"/>
                <w:kern w:val="0"/>
                <w:sz w:val="24"/>
                <w:highlight w:val="none"/>
                <w:lang w:val="en-US" w:eastAsia="zh-CN"/>
              </w:rPr>
              <w:t>项目水量平衡图   m</w:t>
            </w:r>
            <w:r>
              <w:rPr>
                <w:rFonts w:hint="default" w:ascii="Times New Roman" w:hAnsi="Times New Roman" w:cs="Times New Roman" w:eastAsiaTheme="minorEastAsia"/>
                <w:color w:val="auto"/>
                <w:kern w:val="0"/>
                <w:sz w:val="24"/>
                <w:highlight w:val="none"/>
                <w:vertAlign w:val="superscript"/>
                <w:lang w:val="en-US" w:eastAsia="zh-CN"/>
              </w:rPr>
              <w:t>3</w:t>
            </w:r>
            <w:r>
              <w:rPr>
                <w:rFonts w:hint="default" w:ascii="Times New Roman" w:hAnsi="Times New Roman" w:cs="Times New Roman" w:eastAsiaTheme="minorEastAsia"/>
                <w:color w:val="auto"/>
                <w:kern w:val="0"/>
                <w:sz w:val="24"/>
                <w:highlight w:val="none"/>
                <w:lang w:val="en-US" w:eastAsia="zh-CN"/>
              </w:rPr>
              <w:t>/d</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center"/>
              <w:textAlignment w:val="auto"/>
              <w:rPr>
                <w:rFonts w:hint="default" w:ascii="Times New Roman" w:hAnsi="Times New Roman"/>
                <w:color w:val="auto"/>
                <w:highlight w:val="none"/>
                <w:lang w:val="en-US" w:eastAsia="zh-CN"/>
              </w:rPr>
            </w:pPr>
            <w:r>
              <w:rPr>
                <w:color w:val="auto"/>
                <w:highlight w:val="none"/>
              </w:rPr>
              <w:drawing>
                <wp:inline distT="0" distB="0" distL="114300" distR="114300">
                  <wp:extent cx="3473450" cy="1162685"/>
                  <wp:effectExtent l="0" t="0" r="12700" b="1841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9"/>
                          <a:stretch>
                            <a:fillRect/>
                          </a:stretch>
                        </pic:blipFill>
                        <pic:spPr>
                          <a:xfrm>
                            <a:off x="0" y="0"/>
                            <a:ext cx="3473450" cy="1162685"/>
                          </a:xfrm>
                          <a:prstGeom prst="rect">
                            <a:avLst/>
                          </a:prstGeom>
                          <a:noFill/>
                          <a:ln>
                            <a:noFill/>
                          </a:ln>
                        </pic:spPr>
                      </pic:pic>
                    </a:graphicData>
                  </a:graphic>
                </wp:inline>
              </w:drawing>
            </w:r>
          </w:p>
          <w:p>
            <w:pPr>
              <w:pStyle w:val="2"/>
              <w:jc w:val="center"/>
              <w:rPr>
                <w:rFonts w:hint="default" w:ascii="Times New Roman" w:hAnsi="Times New Roman" w:cs="Times New Roman"/>
                <w:color w:val="auto"/>
                <w:highlight w:val="none"/>
                <w:lang w:val="en-US" w:eastAsia="zh-CN"/>
              </w:rPr>
            </w:pPr>
            <w:r>
              <w:rPr>
                <w:rFonts w:hint="default" w:ascii="Times New Roman" w:hAnsi="Times New Roman" w:cs="Times New Roman" w:eastAsiaTheme="minorEastAsia"/>
                <w:color w:val="auto"/>
                <w:kern w:val="0"/>
                <w:sz w:val="24"/>
                <w:highlight w:val="none"/>
                <w:lang w:val="en-US" w:eastAsia="zh-CN"/>
              </w:rPr>
              <w:t>图</w:t>
            </w:r>
            <w:r>
              <w:rPr>
                <w:rFonts w:hint="eastAsia" w:ascii="Times New Roman" w:cs="Times New Roman" w:eastAsiaTheme="minorEastAsia"/>
                <w:color w:val="auto"/>
                <w:kern w:val="0"/>
                <w:sz w:val="24"/>
                <w:highlight w:val="none"/>
                <w:lang w:val="en-US" w:eastAsia="zh-CN"/>
              </w:rPr>
              <w:t>5</w:t>
            </w:r>
            <w:r>
              <w:rPr>
                <w:rFonts w:hint="default" w:ascii="Times New Roman" w:hAnsi="Times New Roman" w:cs="Times New Roman" w:eastAsiaTheme="minorEastAsia"/>
                <w:color w:val="auto"/>
                <w:kern w:val="0"/>
                <w:sz w:val="24"/>
                <w:highlight w:val="none"/>
                <w:lang w:val="en-US" w:eastAsia="zh-CN"/>
              </w:rPr>
              <w:t xml:space="preserve">  </w:t>
            </w:r>
            <w:r>
              <w:rPr>
                <w:rFonts w:hint="eastAsia" w:ascii="Times New Roman" w:hAnsi="Times New Roman" w:cs="Times New Roman" w:eastAsiaTheme="minorEastAsia"/>
                <w:color w:val="auto"/>
                <w:kern w:val="0"/>
                <w:sz w:val="24"/>
                <w:highlight w:val="none"/>
                <w:lang w:val="en-US" w:eastAsia="zh-CN"/>
              </w:rPr>
              <w:t>技改</w:t>
            </w:r>
            <w:r>
              <w:rPr>
                <w:rFonts w:hint="default" w:ascii="Times New Roman" w:hAnsi="Times New Roman" w:cs="Times New Roman" w:eastAsiaTheme="minorEastAsia"/>
                <w:color w:val="auto"/>
                <w:kern w:val="0"/>
                <w:sz w:val="24"/>
                <w:highlight w:val="none"/>
                <w:lang w:val="en-US" w:eastAsia="zh-CN"/>
              </w:rPr>
              <w:t>项目实施后全厂水量平衡图   m</w:t>
            </w:r>
            <w:r>
              <w:rPr>
                <w:rFonts w:hint="default" w:ascii="Times New Roman" w:hAnsi="Times New Roman" w:cs="Times New Roman" w:eastAsiaTheme="minorEastAsia"/>
                <w:color w:val="auto"/>
                <w:kern w:val="0"/>
                <w:sz w:val="24"/>
                <w:highlight w:val="none"/>
                <w:vertAlign w:val="superscript"/>
                <w:lang w:val="en-US" w:eastAsia="zh-CN"/>
              </w:rPr>
              <w:t>3</w:t>
            </w:r>
            <w:r>
              <w:rPr>
                <w:rFonts w:hint="default" w:ascii="Times New Roman" w:hAnsi="Times New Roman" w:cs="Times New Roman" w:eastAsiaTheme="minorEastAsia"/>
                <w:color w:val="auto"/>
                <w:kern w:val="0"/>
                <w:sz w:val="24"/>
                <w:highlight w:val="none"/>
                <w:lang w:val="en-US" w:eastAsia="zh-CN"/>
              </w:rPr>
              <w:t>/d</w:t>
            </w:r>
          </w:p>
          <w:p>
            <w:pPr>
              <w:pStyle w:val="44"/>
              <w:spacing w:line="360" w:lineRule="auto"/>
              <w:ind w:firstLine="482"/>
              <w:rPr>
                <w:b/>
                <w:color w:val="auto"/>
                <w:sz w:val="24"/>
                <w:szCs w:val="22"/>
                <w:highlight w:val="none"/>
              </w:rPr>
            </w:pPr>
            <w:r>
              <w:rPr>
                <w:b/>
                <w:color w:val="auto"/>
                <w:sz w:val="24"/>
                <w:szCs w:val="22"/>
                <w:highlight w:val="none"/>
              </w:rPr>
              <w:t>5、用地及规划符合性分析</w:t>
            </w:r>
          </w:p>
          <w:p>
            <w:pPr>
              <w:pStyle w:val="27"/>
              <w:adjustRightInd w:val="0"/>
              <w:spacing w:before="0" w:beforeAutospacing="0" w:after="0" w:afterAutospacing="0" w:line="360" w:lineRule="auto"/>
              <w:ind w:firstLine="480" w:firstLineChars="200"/>
              <w:rPr>
                <w:rFonts w:hint="eastAsia"/>
                <w:color w:val="auto"/>
                <w:sz w:val="24"/>
                <w:szCs w:val="24"/>
                <w:highlight w:val="none"/>
                <w:lang w:eastAsia="zh-CN"/>
              </w:rPr>
            </w:pPr>
            <w:r>
              <w:rPr>
                <w:rFonts w:hint="eastAsia" w:ascii="Times New Roman" w:hAnsi="Times New Roman" w:cs="Times New Roman"/>
                <w:color w:val="auto"/>
                <w:sz w:val="24"/>
                <w:szCs w:val="24"/>
                <w:highlight w:val="none"/>
                <w:lang w:eastAsia="zh-CN"/>
              </w:rPr>
              <w:t>技改项目位于</w:t>
            </w:r>
            <w:r>
              <w:rPr>
                <w:rFonts w:hint="eastAsia"/>
                <w:color w:val="auto"/>
                <w:kern w:val="24"/>
                <w:sz w:val="24"/>
                <w:szCs w:val="24"/>
                <w:highlight w:val="none"/>
                <w:lang w:eastAsia="zh-CN"/>
              </w:rPr>
              <w:t>河北迁安经济开发区纬九街南侧、纬十街北侧</w:t>
            </w:r>
            <w:r>
              <w:rPr>
                <w:rFonts w:hint="eastAsia" w:ascii="Times New Roman" w:hAnsi="Times New Roman" w:cs="Times New Roman"/>
                <w:color w:val="auto"/>
                <w:sz w:val="24"/>
                <w:szCs w:val="24"/>
                <w:highlight w:val="none"/>
                <w:lang w:eastAsia="zh-CN"/>
              </w:rPr>
              <w:t>，</w:t>
            </w:r>
            <w:r>
              <w:rPr>
                <w:rFonts w:hint="eastAsia"/>
                <w:color w:val="auto"/>
                <w:sz w:val="24"/>
                <w:szCs w:val="24"/>
                <w:highlight w:val="none"/>
                <w:lang w:eastAsia="zh-CN"/>
              </w:rPr>
              <w:t>河北透平风机制造有限公司现有厂区内，</w:t>
            </w:r>
            <w:r>
              <w:rPr>
                <w:rFonts w:hint="eastAsia" w:ascii="Times New Roman" w:hAnsi="Times New Roman" w:cs="Times New Roman"/>
                <w:color w:val="auto"/>
                <w:sz w:val="24"/>
                <w:szCs w:val="24"/>
                <w:highlight w:val="none"/>
                <w:lang w:eastAsia="zh-CN"/>
              </w:rPr>
              <w:t>根据迁安市国土资源局出具的证明可知，项目</w:t>
            </w:r>
            <w:r>
              <w:rPr>
                <w:rFonts w:ascii="Times New Roman" w:hAnsi="Times New Roman" w:cs="Times New Roman"/>
                <w:color w:val="auto"/>
                <w:sz w:val="24"/>
                <w:szCs w:val="24"/>
                <w:highlight w:val="none"/>
                <w:lang w:eastAsia="zh-CN"/>
              </w:rPr>
              <w:t>占地</w:t>
            </w:r>
            <w:r>
              <w:rPr>
                <w:rFonts w:hint="eastAsia" w:ascii="Times New Roman" w:hAnsi="Times New Roman" w:cs="Times New Roman"/>
                <w:color w:val="auto"/>
                <w:sz w:val="24"/>
                <w:szCs w:val="24"/>
                <w:highlight w:val="none"/>
                <w:lang w:eastAsia="zh-CN"/>
              </w:rPr>
              <w:t>位于</w:t>
            </w:r>
            <w:r>
              <w:rPr>
                <w:rFonts w:hint="eastAsia"/>
                <w:color w:val="auto"/>
                <w:kern w:val="24"/>
                <w:sz w:val="24"/>
                <w:szCs w:val="24"/>
                <w:highlight w:val="none"/>
                <w:lang w:eastAsia="zh-CN"/>
              </w:rPr>
              <w:t>河北迁安经济开</w:t>
            </w:r>
            <w:r>
              <w:rPr>
                <w:rFonts w:hint="eastAsia"/>
                <w:color w:val="auto"/>
                <w:sz w:val="24"/>
                <w:szCs w:val="24"/>
                <w:highlight w:val="none"/>
                <w:lang w:eastAsia="zh-CN"/>
              </w:rPr>
              <w:t>发区范围内，地块规划用途为允许建设区。河北迁安经济开发区规划功能分区为“五区、四园”，总面积为</w:t>
            </w:r>
            <w:r>
              <w:rPr>
                <w:rFonts w:hint="default" w:ascii="Times New Roman" w:hAnsi="Times New Roman" w:cs="Times New Roman"/>
                <w:color w:val="auto"/>
                <w:sz w:val="24"/>
                <w:szCs w:val="24"/>
                <w:highlight w:val="none"/>
                <w:lang w:eastAsia="zh-CN"/>
              </w:rPr>
              <w:t>55.55km</w:t>
            </w:r>
            <w:r>
              <w:rPr>
                <w:rFonts w:hint="default" w:ascii="Times New Roman" w:hAnsi="Times New Roman" w:cs="Times New Roman"/>
                <w:color w:val="auto"/>
                <w:sz w:val="24"/>
                <w:szCs w:val="24"/>
                <w:highlight w:val="none"/>
                <w:vertAlign w:val="superscript"/>
                <w:lang w:eastAsia="zh-CN"/>
              </w:rPr>
              <w:t>2</w:t>
            </w:r>
            <w:r>
              <w:rPr>
                <w:rFonts w:hint="eastAsia"/>
                <w:color w:val="auto"/>
                <w:sz w:val="24"/>
                <w:szCs w:val="24"/>
                <w:highlight w:val="none"/>
                <w:lang w:eastAsia="zh-CN"/>
              </w:rPr>
              <w:t>。本项目厂址位于智能创新产业园中装备制造区，用地类型为三类工业用地。产业定位为：发展冶金矿山设备制造、起重设备制造等制造业，重点发展冷轧、热镀锌板、电镀锌板、彩涂板、型钢、钢管、线材加工等耗钢产业，发展精密铸造、金属制品业、机械和设备修理业，发展其他制造业，兼容现有的单纯混合分装的化学制品、铝制品、轻工制品行业，兼容非高耗水、非高耗能的允许项目。</w:t>
            </w:r>
          </w:p>
          <w:p>
            <w:pPr>
              <w:pStyle w:val="27"/>
              <w:adjustRightInd w:val="0"/>
              <w:spacing w:before="0" w:beforeAutospacing="0" w:after="0" w:afterAutospacing="0" w:line="360" w:lineRule="auto"/>
              <w:ind w:firstLine="480" w:firstLineChars="200"/>
              <w:rPr>
                <w:rFonts w:hint="eastAsia"/>
                <w:color w:val="auto"/>
                <w:sz w:val="24"/>
                <w:szCs w:val="24"/>
                <w:highlight w:val="none"/>
                <w:lang w:eastAsia="zh-CN"/>
              </w:rPr>
            </w:pPr>
            <w:r>
              <w:rPr>
                <w:rFonts w:hint="eastAsia"/>
                <w:color w:val="auto"/>
                <w:sz w:val="24"/>
                <w:szCs w:val="24"/>
                <w:highlight w:val="none"/>
                <w:lang w:eastAsia="zh-CN"/>
              </w:rPr>
              <w:t>本项目为金属制品业，产品为风机叶片、风机备件，风机维修，属于金属制品业，符合园区规划。</w:t>
            </w:r>
          </w:p>
          <w:p>
            <w:pPr>
              <w:numPr>
                <w:ilvl w:val="0"/>
                <w:numId w:val="3"/>
              </w:numPr>
              <w:spacing w:line="480" w:lineRule="exact"/>
              <w:ind w:firstLine="480" w:firstLineChars="20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园区规划环评结论</w:t>
            </w:r>
          </w:p>
          <w:p>
            <w:pPr>
              <w:spacing w:line="440" w:lineRule="exact"/>
              <w:jc w:val="center"/>
              <w:rPr>
                <w:rFonts w:ascii="Times New Roman" w:hAnsi="Times New Roman" w:eastAsia="黑体" w:cs="Times New Roman"/>
                <w:color w:val="auto"/>
                <w:sz w:val="24"/>
                <w:szCs w:val="24"/>
                <w:highlight w:val="none"/>
              </w:rPr>
            </w:pPr>
          </w:p>
          <w:p>
            <w:pPr>
              <w:spacing w:line="440" w:lineRule="exact"/>
              <w:jc w:val="center"/>
              <w:rPr>
                <w:rFonts w:ascii="Times New Roman" w:hAnsi="Times New Roman" w:eastAsia="黑体" w:cs="Times New Roman"/>
                <w:color w:val="auto"/>
                <w:sz w:val="24"/>
                <w:szCs w:val="24"/>
                <w:highlight w:val="none"/>
              </w:rPr>
            </w:pPr>
            <w:r>
              <w:rPr>
                <w:rFonts w:ascii="Times New Roman" w:hAnsi="Times New Roman" w:eastAsia="黑体" w:cs="Times New Roman"/>
                <w:color w:val="auto"/>
                <w:sz w:val="24"/>
                <w:szCs w:val="24"/>
                <w:highlight w:val="none"/>
              </w:rPr>
              <w:t>表</w:t>
            </w:r>
            <w:r>
              <w:rPr>
                <w:rFonts w:hint="eastAsia" w:eastAsia="黑体" w:cs="Times New Roman"/>
                <w:color w:val="auto"/>
                <w:sz w:val="24"/>
                <w:szCs w:val="24"/>
                <w:highlight w:val="none"/>
                <w:lang w:val="en-US" w:eastAsia="zh-CN"/>
              </w:rPr>
              <w:t>9</w:t>
            </w:r>
            <w:r>
              <w:rPr>
                <w:rFonts w:ascii="Times New Roman" w:hAnsi="Times New Roman" w:eastAsia="黑体" w:cs="Times New Roman"/>
                <w:color w:val="auto"/>
                <w:sz w:val="24"/>
                <w:szCs w:val="24"/>
                <w:highlight w:val="none"/>
              </w:rPr>
              <w:t xml:space="preserve">   园区规划环评结论符合性分析一览表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8"/>
              <w:gridCol w:w="5239"/>
              <w:gridCol w:w="3086"/>
              <w:gridCol w:w="36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5" w:hRule="atLeast"/>
                <w:tblHeader/>
                <w:jc w:val="center"/>
              </w:trPr>
              <w:tc>
                <w:tcPr>
                  <w:tcW w:w="460" w:type="dxa"/>
                  <w:tcMar>
                    <w:left w:w="0" w:type="dxa"/>
                    <w:right w:w="0" w:type="dxa"/>
                  </w:tcMar>
                  <w:vAlign w:val="center"/>
                </w:tcPr>
                <w:p>
                  <w:pPr>
                    <w:pStyle w:val="15"/>
                    <w:spacing w:line="0" w:lineRule="atLeast"/>
                    <w:jc w:val="center"/>
                    <w:rPr>
                      <w:rFonts w:ascii="Times New Roman" w:hAnsi="Times New Roman"/>
                      <w:b/>
                      <w:color w:val="auto"/>
                      <w:sz w:val="21"/>
                      <w:szCs w:val="21"/>
                      <w:highlight w:val="none"/>
                    </w:rPr>
                  </w:pPr>
                  <w:r>
                    <w:rPr>
                      <w:rFonts w:ascii="Times New Roman" w:hAnsi="Times New Roman"/>
                      <w:b/>
                      <w:color w:val="auto"/>
                      <w:sz w:val="21"/>
                      <w:szCs w:val="21"/>
                      <w:highlight w:val="none"/>
                    </w:rPr>
                    <w:t>序号</w:t>
                  </w:r>
                </w:p>
              </w:tc>
              <w:tc>
                <w:tcPr>
                  <w:tcW w:w="5144" w:type="dxa"/>
                  <w:tcMar>
                    <w:left w:w="0" w:type="dxa"/>
                    <w:right w:w="0" w:type="dxa"/>
                  </w:tcMar>
                  <w:vAlign w:val="center"/>
                </w:tcPr>
                <w:p>
                  <w:pPr>
                    <w:spacing w:line="0" w:lineRule="atLeast"/>
                    <w:jc w:val="center"/>
                    <w:rPr>
                      <w:rFonts w:ascii="Times New Roman" w:hAnsi="Times New Roman"/>
                      <w:b/>
                      <w:color w:val="auto"/>
                      <w:sz w:val="21"/>
                      <w:szCs w:val="21"/>
                      <w:highlight w:val="none"/>
                    </w:rPr>
                  </w:pPr>
                  <w:r>
                    <w:rPr>
                      <w:rFonts w:ascii="Times New Roman" w:hAnsi="Times New Roman"/>
                      <w:b/>
                      <w:color w:val="auto"/>
                      <w:sz w:val="21"/>
                      <w:szCs w:val="21"/>
                      <w:highlight w:val="none"/>
                    </w:rPr>
                    <w:t>园区规划环评结论</w:t>
                  </w:r>
                </w:p>
              </w:tc>
              <w:tc>
                <w:tcPr>
                  <w:tcW w:w="3030" w:type="dxa"/>
                  <w:tcMar>
                    <w:left w:w="0" w:type="dxa"/>
                    <w:right w:w="0" w:type="dxa"/>
                  </w:tcMar>
                  <w:vAlign w:val="center"/>
                </w:tcPr>
                <w:p>
                  <w:pPr>
                    <w:spacing w:line="0" w:lineRule="atLeast"/>
                    <w:jc w:val="center"/>
                    <w:rPr>
                      <w:rFonts w:ascii="Times New Roman" w:hAnsi="Times New Roman"/>
                      <w:b/>
                      <w:color w:val="auto"/>
                      <w:sz w:val="21"/>
                      <w:szCs w:val="21"/>
                      <w:highlight w:val="none"/>
                    </w:rPr>
                  </w:pPr>
                  <w:r>
                    <w:rPr>
                      <w:rFonts w:ascii="Times New Roman" w:hAnsi="Times New Roman"/>
                      <w:b/>
                      <w:color w:val="auto"/>
                      <w:sz w:val="21"/>
                      <w:szCs w:val="21"/>
                      <w:highlight w:val="none"/>
                    </w:rPr>
                    <w:t>本项目</w:t>
                  </w:r>
                </w:p>
              </w:tc>
              <w:tc>
                <w:tcPr>
                  <w:tcW w:w="355" w:type="dxa"/>
                  <w:tcMar>
                    <w:left w:w="0" w:type="dxa"/>
                    <w:right w:w="0" w:type="dxa"/>
                  </w:tcMar>
                  <w:vAlign w:val="center"/>
                </w:tcPr>
                <w:p>
                  <w:pPr>
                    <w:spacing w:line="0" w:lineRule="atLeast"/>
                    <w:jc w:val="center"/>
                    <w:rPr>
                      <w:rFonts w:ascii="Times New Roman" w:hAnsi="Times New Roman"/>
                      <w:b/>
                      <w:color w:val="auto"/>
                      <w:sz w:val="21"/>
                      <w:szCs w:val="21"/>
                      <w:highlight w:val="none"/>
                    </w:rPr>
                  </w:pPr>
                  <w:r>
                    <w:rPr>
                      <w:rFonts w:ascii="Times New Roman" w:hAnsi="Times New Roman"/>
                      <w:b/>
                      <w:color w:val="auto"/>
                      <w:sz w:val="21"/>
                      <w:szCs w:val="21"/>
                      <w:highlight w:val="none"/>
                    </w:rPr>
                    <w:t>结论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460" w:type="dxa"/>
                  <w:tcMar>
                    <w:left w:w="0" w:type="dxa"/>
                    <w:right w:w="0" w:type="dxa"/>
                  </w:tcMar>
                  <w:vAlign w:val="center"/>
                </w:tcPr>
                <w:p>
                  <w:pPr>
                    <w:pStyle w:val="15"/>
                    <w:spacing w:line="0" w:lineRule="atLeast"/>
                    <w:jc w:val="center"/>
                    <w:rPr>
                      <w:rFonts w:ascii="Times New Roman" w:hAnsi="Times New Roman"/>
                      <w:b/>
                      <w:color w:val="auto"/>
                      <w:sz w:val="21"/>
                      <w:szCs w:val="21"/>
                      <w:highlight w:val="none"/>
                    </w:rPr>
                  </w:pPr>
                  <w:r>
                    <w:rPr>
                      <w:rFonts w:ascii="Times New Roman" w:hAnsi="Times New Roman"/>
                      <w:b/>
                      <w:color w:val="auto"/>
                      <w:sz w:val="21"/>
                      <w:szCs w:val="21"/>
                      <w:highlight w:val="none"/>
                    </w:rPr>
                    <w:t>1</w:t>
                  </w:r>
                </w:p>
              </w:tc>
              <w:tc>
                <w:tcPr>
                  <w:tcW w:w="5144" w:type="dxa"/>
                  <w:tcMar>
                    <w:left w:w="0" w:type="dxa"/>
                    <w:right w:w="0" w:type="dxa"/>
                  </w:tcMar>
                  <w:vAlign w:val="center"/>
                </w:tcPr>
                <w:p>
                  <w:pPr>
                    <w:spacing w:line="0" w:lineRule="atLeast"/>
                    <w:ind w:firstLine="420" w:firstLineChars="20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主体功能区划：根据《全国主体功能区规划》及《河北省主体功能区规划》，河北迁安经济开发区所在区域为优化开发区，该区域规划发展方向为：积极发展装备制造、石油化工、精品钢铁、新型建材、电子信息等先进制造业，大力发展现代物流、休闲旅游等服务业等。</w:t>
                  </w:r>
                </w:p>
              </w:tc>
              <w:tc>
                <w:tcPr>
                  <w:tcW w:w="3030" w:type="dxa"/>
                  <w:tcMar>
                    <w:left w:w="0" w:type="dxa"/>
                    <w:right w:w="0" w:type="dxa"/>
                  </w:tcMar>
                  <w:vAlign w:val="center"/>
                </w:tcPr>
                <w:p>
                  <w:pPr>
                    <w:pStyle w:val="15"/>
                    <w:spacing w:line="0" w:lineRule="atLeast"/>
                    <w:ind w:firstLine="210" w:firstLineChars="100"/>
                    <w:jc w:val="center"/>
                    <w:rPr>
                      <w:rFonts w:hint="eastAsia" w:ascii="Times New Roman" w:hAnsi="Times New Roman" w:eastAsia="宋体"/>
                      <w:color w:val="auto"/>
                      <w:sz w:val="21"/>
                      <w:szCs w:val="21"/>
                      <w:highlight w:val="none"/>
                      <w:lang w:eastAsia="zh-CN"/>
                    </w:rPr>
                  </w:pPr>
                  <w:r>
                    <w:rPr>
                      <w:rFonts w:hint="eastAsia" w:ascii="Times New Roman" w:hAnsi="Times New Roman"/>
                      <w:color w:val="auto"/>
                      <w:sz w:val="21"/>
                      <w:szCs w:val="21"/>
                      <w:highlight w:val="none"/>
                    </w:rPr>
                    <w:t>本项目</w:t>
                  </w:r>
                  <w:r>
                    <w:rPr>
                      <w:rFonts w:hint="eastAsia" w:ascii="Times New Roman" w:hAnsi="Times New Roman"/>
                      <w:color w:val="auto"/>
                      <w:sz w:val="21"/>
                      <w:szCs w:val="21"/>
                      <w:highlight w:val="none"/>
                      <w:lang w:eastAsia="zh-CN"/>
                    </w:rPr>
                    <w:t>产品为风机</w:t>
                  </w:r>
                  <w:r>
                    <w:rPr>
                      <w:rFonts w:hint="eastAsia" w:ascii="Times New Roman" w:hAnsi="Times New Roman"/>
                      <w:color w:val="auto"/>
                      <w:sz w:val="21"/>
                      <w:szCs w:val="21"/>
                      <w:highlight w:val="none"/>
                    </w:rPr>
                    <w:t>叶片、风机备件，风机</w:t>
                  </w:r>
                  <w:r>
                    <w:rPr>
                      <w:rFonts w:hint="eastAsia" w:ascii="Times New Roman" w:hAnsi="Times New Roman"/>
                      <w:color w:val="auto"/>
                      <w:sz w:val="21"/>
                      <w:szCs w:val="21"/>
                      <w:highlight w:val="none"/>
                      <w:lang w:eastAsia="zh-CN"/>
                    </w:rPr>
                    <w:t>维修</w:t>
                  </w:r>
                  <w:r>
                    <w:rPr>
                      <w:rFonts w:hint="eastAsia" w:ascii="Times New Roman" w:hAnsi="Times New Roman"/>
                      <w:color w:val="auto"/>
                      <w:sz w:val="21"/>
                      <w:szCs w:val="21"/>
                      <w:highlight w:val="none"/>
                    </w:rPr>
                    <w:t>，属</w:t>
                  </w:r>
                  <w:r>
                    <w:rPr>
                      <w:rFonts w:hint="eastAsia" w:ascii="Times New Roman" w:hAnsi="Times New Roman"/>
                      <w:color w:val="auto"/>
                      <w:sz w:val="21"/>
                      <w:szCs w:val="21"/>
                      <w:highlight w:val="none"/>
                      <w:lang w:eastAsia="zh-CN"/>
                    </w:rPr>
                    <w:t>于金属制品业</w:t>
                  </w:r>
                </w:p>
              </w:tc>
              <w:tc>
                <w:tcPr>
                  <w:tcW w:w="355" w:type="dxa"/>
                  <w:vMerge w:val="restart"/>
                  <w:tcMar>
                    <w:left w:w="0" w:type="dxa"/>
                    <w:right w:w="0" w:type="dxa"/>
                  </w:tcMar>
                  <w:vAlign w:val="center"/>
                </w:tcPr>
                <w:p>
                  <w:pPr>
                    <w:pStyle w:val="15"/>
                    <w:spacing w:line="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符合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460" w:type="dxa"/>
                  <w:tcMar>
                    <w:left w:w="0" w:type="dxa"/>
                    <w:right w:w="0" w:type="dxa"/>
                  </w:tcMar>
                  <w:vAlign w:val="center"/>
                </w:tcPr>
                <w:p>
                  <w:pPr>
                    <w:pStyle w:val="15"/>
                    <w:spacing w:line="0" w:lineRule="atLeast"/>
                    <w:jc w:val="center"/>
                    <w:rPr>
                      <w:rFonts w:ascii="Times New Roman" w:hAnsi="Times New Roman"/>
                      <w:b/>
                      <w:color w:val="auto"/>
                      <w:sz w:val="21"/>
                      <w:szCs w:val="21"/>
                      <w:highlight w:val="none"/>
                    </w:rPr>
                  </w:pPr>
                  <w:r>
                    <w:rPr>
                      <w:rFonts w:ascii="Times New Roman" w:hAnsi="Times New Roman"/>
                      <w:b/>
                      <w:color w:val="auto"/>
                      <w:sz w:val="21"/>
                      <w:szCs w:val="21"/>
                      <w:highlight w:val="none"/>
                    </w:rPr>
                    <w:t>2</w:t>
                  </w:r>
                </w:p>
              </w:tc>
              <w:tc>
                <w:tcPr>
                  <w:tcW w:w="5144" w:type="dxa"/>
                  <w:tcMar>
                    <w:left w:w="0" w:type="dxa"/>
                    <w:right w:w="0" w:type="dxa"/>
                  </w:tcMar>
                  <w:vAlign w:val="center"/>
                </w:tcPr>
                <w:p>
                  <w:pPr>
                    <w:adjustRightInd w:val="0"/>
                    <w:snapToGrid w:val="0"/>
                    <w:spacing w:line="0" w:lineRule="atLeast"/>
                    <w:ind w:firstLine="476"/>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生态功能区划：开发区建设与区域生态功能区划不冲突。</w:t>
                  </w:r>
                </w:p>
              </w:tc>
              <w:tc>
                <w:tcPr>
                  <w:tcW w:w="3030" w:type="dxa"/>
                  <w:tcMar>
                    <w:left w:w="0" w:type="dxa"/>
                    <w:right w:w="0" w:type="dxa"/>
                  </w:tcMar>
                  <w:vAlign w:val="center"/>
                </w:tcPr>
                <w:p>
                  <w:pPr>
                    <w:pStyle w:val="15"/>
                    <w:spacing w:line="0" w:lineRule="atLeast"/>
                    <w:ind w:firstLine="210" w:firstLineChars="100"/>
                    <w:jc w:val="center"/>
                    <w:rPr>
                      <w:rFonts w:ascii="Times New Roman" w:hAnsi="Times New Roman"/>
                      <w:color w:val="auto"/>
                      <w:sz w:val="21"/>
                      <w:szCs w:val="21"/>
                      <w:highlight w:val="none"/>
                    </w:rPr>
                  </w:pPr>
                  <w:r>
                    <w:rPr>
                      <w:rFonts w:ascii="Times New Roman" w:hAnsi="Times New Roman"/>
                      <w:color w:val="auto"/>
                      <w:sz w:val="21"/>
                      <w:szCs w:val="21"/>
                      <w:highlight w:val="none"/>
                    </w:rPr>
                    <w:t>本</w:t>
                  </w:r>
                  <w:r>
                    <w:rPr>
                      <w:rFonts w:hint="eastAsia" w:ascii="Times New Roman" w:hAnsi="Times New Roman"/>
                      <w:color w:val="auto"/>
                      <w:sz w:val="21"/>
                      <w:szCs w:val="21"/>
                      <w:highlight w:val="none"/>
                    </w:rPr>
                    <w:t>项目位于河北迁安经济开发区的智能创新产业园中</w:t>
                  </w:r>
                  <w:r>
                    <w:rPr>
                      <w:rFonts w:hint="eastAsia"/>
                      <w:color w:val="auto"/>
                      <w:sz w:val="21"/>
                      <w:szCs w:val="21"/>
                      <w:highlight w:val="none"/>
                      <w:lang w:eastAsia="zh-CN"/>
                    </w:rPr>
                    <w:t>装备制造区</w:t>
                  </w:r>
                  <w:r>
                    <w:rPr>
                      <w:rFonts w:hint="eastAsia" w:ascii="Times New Roman" w:hAnsi="Times New Roman"/>
                      <w:color w:val="auto"/>
                      <w:sz w:val="21"/>
                      <w:szCs w:val="21"/>
                      <w:highlight w:val="none"/>
                    </w:rPr>
                    <w:t>，用地类型为三类工业用地</w:t>
                  </w:r>
                </w:p>
              </w:tc>
              <w:tc>
                <w:tcPr>
                  <w:tcW w:w="355" w:type="dxa"/>
                  <w:vMerge w:val="continue"/>
                  <w:tcMar>
                    <w:left w:w="0" w:type="dxa"/>
                    <w:right w:w="0" w:type="dxa"/>
                  </w:tcMar>
                  <w:vAlign w:val="center"/>
                </w:tcPr>
                <w:p>
                  <w:pPr>
                    <w:pStyle w:val="15"/>
                    <w:spacing w:line="0" w:lineRule="atLeast"/>
                    <w:jc w:val="center"/>
                    <w:rPr>
                      <w:rFonts w:ascii="Times New Roman" w:hAnsi="Times New Roman"/>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460" w:type="dxa"/>
                  <w:tcMar>
                    <w:left w:w="0" w:type="dxa"/>
                    <w:right w:w="0" w:type="dxa"/>
                  </w:tcMar>
                  <w:vAlign w:val="center"/>
                </w:tcPr>
                <w:p>
                  <w:pPr>
                    <w:pStyle w:val="15"/>
                    <w:spacing w:line="0" w:lineRule="atLeast"/>
                    <w:jc w:val="center"/>
                    <w:rPr>
                      <w:rFonts w:ascii="Times New Roman" w:hAnsi="Times New Roman"/>
                      <w:b/>
                      <w:color w:val="auto"/>
                      <w:sz w:val="21"/>
                      <w:szCs w:val="21"/>
                      <w:highlight w:val="none"/>
                    </w:rPr>
                  </w:pPr>
                  <w:r>
                    <w:rPr>
                      <w:rFonts w:ascii="Times New Roman" w:hAnsi="Times New Roman"/>
                      <w:b/>
                      <w:color w:val="auto"/>
                      <w:sz w:val="21"/>
                      <w:szCs w:val="21"/>
                      <w:highlight w:val="none"/>
                    </w:rPr>
                    <w:t>3</w:t>
                  </w:r>
                </w:p>
              </w:tc>
              <w:tc>
                <w:tcPr>
                  <w:tcW w:w="5144" w:type="dxa"/>
                  <w:tcMar>
                    <w:left w:w="0" w:type="dxa"/>
                    <w:right w:w="0" w:type="dxa"/>
                  </w:tcMar>
                  <w:vAlign w:val="center"/>
                </w:tcPr>
                <w:p>
                  <w:pPr>
                    <w:pStyle w:val="78"/>
                    <w:adjustRightInd w:val="0"/>
                    <w:snapToGrid w:val="0"/>
                    <w:spacing w:line="0" w:lineRule="atLeast"/>
                    <w:ind w:firstLine="460"/>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城市规划：经济开发区总体规划在用地布局方面符合城乡总体规划要求，开发区以发展精品钢铁、装备制造、煤化工建材等产业为主的经济开发区，符合城乡总体规划。</w:t>
                  </w:r>
                </w:p>
              </w:tc>
              <w:tc>
                <w:tcPr>
                  <w:tcW w:w="3030" w:type="dxa"/>
                  <w:tcMar>
                    <w:left w:w="0" w:type="dxa"/>
                    <w:right w:w="0" w:type="dxa"/>
                  </w:tcMar>
                  <w:vAlign w:val="center"/>
                </w:tcPr>
                <w:p>
                  <w:pPr>
                    <w:pStyle w:val="15"/>
                    <w:spacing w:line="0" w:lineRule="atLeast"/>
                    <w:ind w:firstLine="210" w:firstLineChars="100"/>
                    <w:jc w:val="center"/>
                    <w:rPr>
                      <w:rFonts w:hint="eastAsia" w:ascii="Times New Roman" w:hAnsi="Times New Roman" w:eastAsia="宋体"/>
                      <w:color w:val="auto"/>
                      <w:sz w:val="21"/>
                      <w:szCs w:val="21"/>
                      <w:highlight w:val="none"/>
                      <w:lang w:eastAsia="zh-CN"/>
                    </w:rPr>
                  </w:pPr>
                  <w:r>
                    <w:rPr>
                      <w:rFonts w:hint="eastAsia" w:ascii="Times New Roman" w:hAnsi="Times New Roman"/>
                      <w:color w:val="auto"/>
                      <w:sz w:val="21"/>
                      <w:szCs w:val="21"/>
                      <w:highlight w:val="none"/>
                    </w:rPr>
                    <w:t>本项目位于河北迁安经济开发区的智能创新产业园中</w:t>
                  </w:r>
                  <w:r>
                    <w:rPr>
                      <w:rFonts w:hint="eastAsia"/>
                      <w:color w:val="auto"/>
                      <w:sz w:val="21"/>
                      <w:szCs w:val="21"/>
                      <w:highlight w:val="none"/>
                      <w:lang w:eastAsia="zh-CN"/>
                    </w:rPr>
                    <w:t>装备制造区</w:t>
                  </w:r>
                  <w:r>
                    <w:rPr>
                      <w:rFonts w:hint="eastAsia" w:ascii="Times New Roman" w:hAnsi="Times New Roman"/>
                      <w:color w:val="auto"/>
                      <w:sz w:val="21"/>
                      <w:szCs w:val="21"/>
                      <w:highlight w:val="none"/>
                    </w:rPr>
                    <w:t>，用地类型为三类工业用地，规划土地类型为工业用地；属于</w:t>
                  </w:r>
                  <w:r>
                    <w:rPr>
                      <w:rFonts w:hint="eastAsia" w:ascii="Times New Roman" w:hAnsi="Times New Roman"/>
                      <w:color w:val="auto"/>
                      <w:sz w:val="21"/>
                      <w:szCs w:val="21"/>
                      <w:highlight w:val="none"/>
                      <w:lang w:eastAsia="zh-CN"/>
                    </w:rPr>
                    <w:t>金属制品业</w:t>
                  </w:r>
                </w:p>
              </w:tc>
              <w:tc>
                <w:tcPr>
                  <w:tcW w:w="355" w:type="dxa"/>
                  <w:vMerge w:val="continue"/>
                  <w:tcMar>
                    <w:left w:w="0" w:type="dxa"/>
                    <w:right w:w="0" w:type="dxa"/>
                  </w:tcMar>
                  <w:vAlign w:val="center"/>
                </w:tcPr>
                <w:p>
                  <w:pPr>
                    <w:pStyle w:val="15"/>
                    <w:spacing w:line="0" w:lineRule="atLeast"/>
                    <w:jc w:val="center"/>
                    <w:rPr>
                      <w:rFonts w:ascii="Times New Roman" w:hAnsi="Times New Roman"/>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460" w:type="dxa"/>
                  <w:tcMar>
                    <w:left w:w="0" w:type="dxa"/>
                    <w:right w:w="0" w:type="dxa"/>
                  </w:tcMar>
                  <w:vAlign w:val="center"/>
                </w:tcPr>
                <w:p>
                  <w:pPr>
                    <w:pStyle w:val="15"/>
                    <w:spacing w:line="0" w:lineRule="atLeast"/>
                    <w:jc w:val="center"/>
                    <w:rPr>
                      <w:rFonts w:ascii="Times New Roman" w:hAnsi="Times New Roman"/>
                      <w:b/>
                      <w:color w:val="auto"/>
                      <w:sz w:val="21"/>
                      <w:szCs w:val="21"/>
                      <w:highlight w:val="none"/>
                    </w:rPr>
                  </w:pPr>
                  <w:r>
                    <w:rPr>
                      <w:rFonts w:hint="eastAsia" w:ascii="Times New Roman" w:hAnsi="Times New Roman"/>
                      <w:b/>
                      <w:color w:val="auto"/>
                      <w:sz w:val="21"/>
                      <w:szCs w:val="21"/>
                      <w:highlight w:val="none"/>
                    </w:rPr>
                    <w:t>4</w:t>
                  </w:r>
                </w:p>
              </w:tc>
              <w:tc>
                <w:tcPr>
                  <w:tcW w:w="5144" w:type="dxa"/>
                  <w:tcMar>
                    <w:left w:w="0" w:type="dxa"/>
                    <w:right w:w="0" w:type="dxa"/>
                  </w:tcMar>
                  <w:vAlign w:val="center"/>
                </w:tcPr>
                <w:p>
                  <w:pPr>
                    <w:pStyle w:val="78"/>
                    <w:adjustRightInd w:val="0"/>
                    <w:snapToGrid w:val="0"/>
                    <w:spacing w:line="0" w:lineRule="atLeast"/>
                    <w:ind w:firstLine="460"/>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规划布局：规划根据产业定位划定主体功能区和外围产业园。主体功能区包括南北两部分，外围产业园包括</w:t>
                  </w:r>
                  <w:r>
                    <w:rPr>
                      <w:rFonts w:ascii="Times New Roman" w:hAnsi="Times New Roman" w:cs="Times New Roman"/>
                      <w:color w:val="auto"/>
                      <w:sz w:val="21"/>
                      <w:szCs w:val="21"/>
                      <w:highlight w:val="none"/>
                    </w:rPr>
                    <w:t xml:space="preserve"> 4 个产业园。其中，冶金建材产业园位于主体功能区北侧，</w:t>
                  </w:r>
                  <w:r>
                    <w:rPr>
                      <w:rFonts w:hint="eastAsia" w:ascii="Times New Roman" w:hAnsi="Times New Roman" w:cs="Times New Roman"/>
                      <w:color w:val="auto"/>
                      <w:sz w:val="21"/>
                      <w:szCs w:val="21"/>
                      <w:highlight w:val="none"/>
                    </w:rPr>
                    <w:t>现代装备及循环产业园位于主体功能区西北侧，高端装备制造园位于主体功能区南区的东侧，综合考虑《重点工业行业用水效率指南》</w:t>
                  </w:r>
                  <w:r>
                    <w:rPr>
                      <w:rFonts w:ascii="Times New Roman" w:hAnsi="Times New Roman" w:cs="Times New Roman"/>
                      <w:color w:val="auto"/>
                      <w:sz w:val="21"/>
                      <w:szCs w:val="21"/>
                      <w:highlight w:val="none"/>
                    </w:rPr>
                    <w:t>(工信部联节[2013]367 号)、</w:t>
                  </w:r>
                  <w:r>
                    <w:rPr>
                      <w:rFonts w:hint="eastAsia" w:ascii="Times New Roman" w:hAnsi="Times New Roman" w:cs="Times New Roman"/>
                      <w:color w:val="auto"/>
                      <w:sz w:val="21"/>
                      <w:szCs w:val="21"/>
                      <w:highlight w:val="none"/>
                    </w:rPr>
                    <w:t>《唐山市水污染防治工作方案》</w:t>
                  </w:r>
                  <w:r>
                    <w:rPr>
                      <w:rFonts w:ascii="Times New Roman" w:hAnsi="Times New Roman" w:cs="Times New Roman"/>
                      <w:color w:val="auto"/>
                      <w:sz w:val="21"/>
                      <w:szCs w:val="21"/>
                      <w:highlight w:val="none"/>
                    </w:rPr>
                    <w:t>(唐发[2016]6 号)确定水资源利用效率及总量控制</w:t>
                  </w:r>
                  <w:r>
                    <w:rPr>
                      <w:rFonts w:hint="eastAsia" w:ascii="Times New Roman" w:hAnsi="Times New Roman" w:cs="Times New Roman"/>
                      <w:color w:val="auto"/>
                      <w:sz w:val="21"/>
                      <w:szCs w:val="21"/>
                      <w:highlight w:val="none"/>
                    </w:rPr>
                    <w:t>线等相关要求。</w:t>
                  </w:r>
                </w:p>
              </w:tc>
              <w:tc>
                <w:tcPr>
                  <w:tcW w:w="3030" w:type="dxa"/>
                  <w:tcMar>
                    <w:left w:w="0" w:type="dxa"/>
                    <w:right w:w="0" w:type="dxa"/>
                  </w:tcMar>
                  <w:vAlign w:val="center"/>
                </w:tcPr>
                <w:p>
                  <w:pPr>
                    <w:pStyle w:val="15"/>
                    <w:spacing w:line="0" w:lineRule="atLeast"/>
                    <w:ind w:firstLine="210" w:firstLineChars="100"/>
                    <w:jc w:val="center"/>
                    <w:rPr>
                      <w:rFonts w:hint="eastAsia" w:ascii="Times New Roman" w:hAnsi="Times New Roman" w:eastAsia="宋体"/>
                      <w:color w:val="auto"/>
                      <w:sz w:val="21"/>
                      <w:szCs w:val="21"/>
                      <w:highlight w:val="none"/>
                      <w:lang w:eastAsia="zh-CN"/>
                    </w:rPr>
                  </w:pPr>
                  <w:r>
                    <w:rPr>
                      <w:rFonts w:ascii="Times New Roman" w:hAnsi="Times New Roman"/>
                      <w:color w:val="auto"/>
                      <w:sz w:val="21"/>
                      <w:szCs w:val="21"/>
                      <w:highlight w:val="none"/>
                    </w:rPr>
                    <w:t>本项目位于河北迁安经济开发区</w:t>
                  </w:r>
                  <w:r>
                    <w:rPr>
                      <w:rFonts w:hint="eastAsia" w:ascii="Times New Roman" w:hAnsi="Times New Roman"/>
                      <w:color w:val="auto"/>
                      <w:sz w:val="21"/>
                      <w:szCs w:val="21"/>
                      <w:highlight w:val="none"/>
                    </w:rPr>
                    <w:t>的智能创新产业园中</w:t>
                  </w:r>
                  <w:r>
                    <w:rPr>
                      <w:rFonts w:hint="eastAsia"/>
                      <w:color w:val="auto"/>
                      <w:sz w:val="21"/>
                      <w:szCs w:val="21"/>
                      <w:highlight w:val="none"/>
                      <w:lang w:eastAsia="zh-CN"/>
                    </w:rPr>
                    <w:t>装备制造区</w:t>
                  </w:r>
                  <w:r>
                    <w:rPr>
                      <w:rFonts w:hint="eastAsia" w:ascii="Times New Roman" w:hAnsi="Times New Roman"/>
                      <w:color w:val="auto"/>
                      <w:sz w:val="21"/>
                      <w:szCs w:val="21"/>
                      <w:highlight w:val="none"/>
                    </w:rPr>
                    <w:t>，符合园区产业定位要求；本项目</w:t>
                  </w:r>
                  <w:r>
                    <w:rPr>
                      <w:rFonts w:hint="eastAsia" w:ascii="Times New Roman" w:hAnsi="Times New Roman"/>
                      <w:color w:val="auto"/>
                      <w:sz w:val="21"/>
                      <w:szCs w:val="21"/>
                      <w:highlight w:val="none"/>
                      <w:lang w:eastAsia="zh-CN"/>
                    </w:rPr>
                    <w:t>无生产废水外排</w:t>
                  </w:r>
                  <w:r>
                    <w:rPr>
                      <w:rFonts w:hint="eastAsia" w:ascii="Times New Roman" w:hAnsi="Times New Roman"/>
                      <w:color w:val="auto"/>
                      <w:sz w:val="21"/>
                      <w:szCs w:val="21"/>
                      <w:highlight w:val="none"/>
                    </w:rPr>
                    <w:t>，</w:t>
                  </w:r>
                  <w:r>
                    <w:rPr>
                      <w:rFonts w:hint="eastAsia" w:ascii="Times New Roman" w:hAnsi="Times New Roman"/>
                      <w:color w:val="auto"/>
                      <w:sz w:val="21"/>
                      <w:szCs w:val="21"/>
                      <w:highlight w:val="none"/>
                      <w:lang w:eastAsia="zh-CN"/>
                    </w:rPr>
                    <w:t>生活污水</w:t>
                  </w:r>
                  <w:r>
                    <w:rPr>
                      <w:rFonts w:hint="eastAsia" w:ascii="Times New Roman" w:hAnsi="Times New Roman"/>
                      <w:color w:val="auto"/>
                      <w:sz w:val="21"/>
                      <w:szCs w:val="21"/>
                      <w:highlight w:val="none"/>
                    </w:rPr>
                    <w:t>排入</w:t>
                  </w:r>
                  <w:r>
                    <w:rPr>
                      <w:rFonts w:hint="eastAsia" w:ascii="Times New Roman" w:hAnsi="Times New Roman"/>
                      <w:color w:val="auto"/>
                      <w:sz w:val="21"/>
                      <w:szCs w:val="21"/>
                      <w:highlight w:val="none"/>
                      <w:lang w:eastAsia="zh-CN"/>
                    </w:rPr>
                    <w:t>园区污水处理厂</w:t>
                  </w:r>
                </w:p>
              </w:tc>
              <w:tc>
                <w:tcPr>
                  <w:tcW w:w="355" w:type="dxa"/>
                  <w:vMerge w:val="continue"/>
                  <w:tcMar>
                    <w:left w:w="0" w:type="dxa"/>
                    <w:right w:w="0" w:type="dxa"/>
                  </w:tcMar>
                  <w:vAlign w:val="center"/>
                </w:tcPr>
                <w:p>
                  <w:pPr>
                    <w:pStyle w:val="15"/>
                    <w:spacing w:line="0" w:lineRule="atLeast"/>
                    <w:jc w:val="center"/>
                    <w:rPr>
                      <w:rFonts w:ascii="Times New Roman" w:hAnsi="Times New Roman"/>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460" w:type="dxa"/>
                  <w:tcMar>
                    <w:left w:w="0" w:type="dxa"/>
                    <w:right w:w="0" w:type="dxa"/>
                  </w:tcMar>
                  <w:vAlign w:val="center"/>
                </w:tcPr>
                <w:p>
                  <w:pPr>
                    <w:pStyle w:val="15"/>
                    <w:spacing w:line="0" w:lineRule="atLeast"/>
                    <w:jc w:val="center"/>
                    <w:rPr>
                      <w:rFonts w:ascii="Times New Roman" w:hAnsi="Times New Roman"/>
                      <w:b/>
                      <w:color w:val="auto"/>
                      <w:sz w:val="21"/>
                      <w:szCs w:val="21"/>
                      <w:highlight w:val="none"/>
                    </w:rPr>
                  </w:pPr>
                  <w:r>
                    <w:rPr>
                      <w:rFonts w:hint="eastAsia" w:ascii="Times New Roman" w:hAnsi="Times New Roman"/>
                      <w:b/>
                      <w:color w:val="auto"/>
                      <w:sz w:val="21"/>
                      <w:szCs w:val="21"/>
                      <w:highlight w:val="none"/>
                    </w:rPr>
                    <w:t>5</w:t>
                  </w:r>
                </w:p>
              </w:tc>
              <w:tc>
                <w:tcPr>
                  <w:tcW w:w="5144" w:type="dxa"/>
                  <w:tcMar>
                    <w:left w:w="0" w:type="dxa"/>
                    <w:right w:w="0" w:type="dxa"/>
                  </w:tcMar>
                  <w:vAlign w:val="center"/>
                </w:tcPr>
                <w:p>
                  <w:pPr>
                    <w:pStyle w:val="78"/>
                    <w:adjustRightInd w:val="0"/>
                    <w:snapToGrid w:val="0"/>
                    <w:spacing w:line="0" w:lineRule="atLeast"/>
                    <w:ind w:firstLine="460"/>
                    <w:jc w:val="center"/>
                    <w:rPr>
                      <w:rFonts w:ascii="Times New Roman" w:hAnsi="Times New Roman" w:cs="Times New Roman"/>
                      <w:color w:val="auto"/>
                      <w:sz w:val="21"/>
                      <w:szCs w:val="21"/>
                      <w:highlight w:val="none"/>
                    </w:rPr>
                  </w:pP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 xml:space="preserve"> 三线一单</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 xml:space="preserve"> 符合性分析</w:t>
                  </w:r>
                  <w:r>
                    <w:rPr>
                      <w:rFonts w:hint="eastAsia" w:ascii="Times New Roman" w:hAnsi="Times New Roman" w:cs="Times New Roman"/>
                      <w:color w:val="auto"/>
                      <w:sz w:val="18"/>
                      <w:szCs w:val="18"/>
                      <w:highlight w:val="none"/>
                    </w:rPr>
                    <w:t>：本次评价建议增加禁止建设区范围。建议将区内涉及的少量基本农田地块划定为禁止建设区。采取上述管控措施后，开发区建设满足生态保护红线要求；</w:t>
                  </w:r>
                  <w:r>
                    <w:rPr>
                      <w:rFonts w:ascii="Times New Roman" w:hAnsi="Times New Roman" w:cs="Times New Roman"/>
                      <w:color w:val="auto"/>
                      <w:sz w:val="18"/>
                      <w:szCs w:val="18"/>
                      <w:highlight w:val="none"/>
                    </w:rPr>
                    <w:t>SO</w:t>
                  </w:r>
                  <w:r>
                    <w:rPr>
                      <w:rFonts w:ascii="Times New Roman" w:hAnsi="Times New Roman" w:cs="Times New Roman"/>
                      <w:color w:val="auto"/>
                      <w:sz w:val="18"/>
                      <w:szCs w:val="18"/>
                      <w:highlight w:val="none"/>
                      <w:vertAlign w:val="subscript"/>
                    </w:rPr>
                    <w:t>2</w:t>
                  </w:r>
                  <w:r>
                    <w:rPr>
                      <w:rFonts w:ascii="Times New Roman" w:hAnsi="Times New Roman" w:cs="Times New Roman"/>
                      <w:color w:val="auto"/>
                      <w:sz w:val="18"/>
                      <w:szCs w:val="18"/>
                      <w:highlight w:val="none"/>
                    </w:rPr>
                    <w:t>可以满足环境容量要求，NO</w:t>
                  </w:r>
                  <w:r>
                    <w:rPr>
                      <w:rFonts w:ascii="Times New Roman" w:hAnsi="Times New Roman" w:cs="Times New Roman"/>
                      <w:color w:val="auto"/>
                      <w:sz w:val="18"/>
                      <w:szCs w:val="18"/>
                      <w:highlight w:val="none"/>
                      <w:vertAlign w:val="subscript"/>
                    </w:rPr>
                    <w:t>2</w:t>
                  </w:r>
                  <w:r>
                    <w:rPr>
                      <w:rFonts w:ascii="Times New Roman" w:hAnsi="Times New Roman" w:cs="Times New Roman"/>
                      <w:color w:val="auto"/>
                      <w:sz w:val="18"/>
                      <w:szCs w:val="18"/>
                      <w:highlight w:val="none"/>
                    </w:rPr>
                    <w:t xml:space="preserve"> 和PM</w:t>
                  </w:r>
                  <w:r>
                    <w:rPr>
                      <w:rFonts w:ascii="Times New Roman" w:hAnsi="Times New Roman" w:cs="Times New Roman"/>
                      <w:color w:val="auto"/>
                      <w:sz w:val="18"/>
                      <w:szCs w:val="18"/>
                      <w:highlight w:val="none"/>
                      <w:vertAlign w:val="subscript"/>
                    </w:rPr>
                    <w:t>2.5</w:t>
                  </w:r>
                  <w:r>
                    <w:rPr>
                      <w:rFonts w:ascii="Times New Roman" w:hAnsi="Times New Roman" w:cs="Times New Roman"/>
                      <w:color w:val="auto"/>
                      <w:sz w:val="18"/>
                      <w:szCs w:val="18"/>
                      <w:highlight w:val="none"/>
                    </w:rPr>
                    <w:t>均不满足环境容量要求，需要继续削</w:t>
                  </w:r>
                  <w:r>
                    <w:rPr>
                      <w:rFonts w:hint="eastAsia" w:ascii="Times New Roman" w:hAnsi="Times New Roman" w:cs="Times New Roman"/>
                      <w:color w:val="auto"/>
                      <w:sz w:val="18"/>
                      <w:szCs w:val="18"/>
                      <w:highlight w:val="none"/>
                    </w:rPr>
                    <w:t>减。按照优先削减前体物的原则，需要优先削减</w:t>
                  </w:r>
                  <w:r>
                    <w:rPr>
                      <w:rFonts w:ascii="Times New Roman" w:hAnsi="Times New Roman" w:cs="Times New Roman"/>
                      <w:color w:val="auto"/>
                      <w:sz w:val="18"/>
                      <w:szCs w:val="18"/>
                      <w:highlight w:val="none"/>
                    </w:rPr>
                    <w:t>NO</w:t>
                  </w:r>
                  <w:r>
                    <w:rPr>
                      <w:rFonts w:ascii="Times New Roman" w:hAnsi="Times New Roman" w:cs="Times New Roman"/>
                      <w:color w:val="auto"/>
                      <w:sz w:val="18"/>
                      <w:szCs w:val="18"/>
                      <w:highlight w:val="none"/>
                      <w:vertAlign w:val="subscript"/>
                    </w:rPr>
                    <w:t>2</w:t>
                  </w:r>
                  <w:r>
                    <w:rPr>
                      <w:rFonts w:ascii="Times New Roman" w:hAnsi="Times New Roman" w:cs="Times New Roman"/>
                      <w:color w:val="auto"/>
                      <w:sz w:val="18"/>
                      <w:szCs w:val="18"/>
                      <w:highlight w:val="none"/>
                    </w:rPr>
                    <w:t>到允许排放量，再将SO</w:t>
                  </w:r>
                  <w:r>
                    <w:rPr>
                      <w:rFonts w:ascii="Times New Roman" w:hAnsi="Times New Roman" w:cs="Times New Roman"/>
                      <w:color w:val="auto"/>
                      <w:sz w:val="18"/>
                      <w:szCs w:val="18"/>
                      <w:highlight w:val="none"/>
                      <w:vertAlign w:val="subscript"/>
                    </w:rPr>
                    <w:t>2</w:t>
                  </w:r>
                  <w:r>
                    <w:rPr>
                      <w:rFonts w:ascii="Times New Roman" w:hAnsi="Times New Roman" w:cs="Times New Roman"/>
                      <w:color w:val="auto"/>
                      <w:sz w:val="18"/>
                      <w:szCs w:val="18"/>
                      <w:highlight w:val="none"/>
                    </w:rPr>
                    <w:t>、NO</w:t>
                  </w:r>
                  <w:r>
                    <w:rPr>
                      <w:rFonts w:ascii="Times New Roman" w:hAnsi="Times New Roman" w:cs="Times New Roman"/>
                      <w:color w:val="auto"/>
                      <w:sz w:val="18"/>
                      <w:szCs w:val="18"/>
                      <w:highlight w:val="none"/>
                      <w:vertAlign w:val="subscript"/>
                    </w:rPr>
                    <w:t>2</w:t>
                  </w:r>
                  <w:r>
                    <w:rPr>
                      <w:rFonts w:ascii="Times New Roman" w:hAnsi="Times New Roman" w:cs="Times New Roman"/>
                      <w:color w:val="auto"/>
                      <w:sz w:val="18"/>
                      <w:szCs w:val="18"/>
                      <w:highlight w:val="none"/>
                    </w:rPr>
                    <w:t>、一次 PM</w:t>
                  </w:r>
                  <w:r>
                    <w:rPr>
                      <w:rFonts w:ascii="Times New Roman" w:hAnsi="Times New Roman" w:cs="Times New Roman"/>
                      <w:color w:val="auto"/>
                      <w:sz w:val="18"/>
                      <w:szCs w:val="18"/>
                      <w:highlight w:val="none"/>
                      <w:vertAlign w:val="subscript"/>
                    </w:rPr>
                    <w:t>2.5</w:t>
                  </w:r>
                  <w:r>
                    <w:rPr>
                      <w:rFonts w:ascii="Times New Roman" w:hAnsi="Times New Roman" w:cs="Times New Roman"/>
                      <w:color w:val="auto"/>
                      <w:sz w:val="18"/>
                      <w:szCs w:val="18"/>
                      <w:highlight w:val="none"/>
                    </w:rPr>
                    <w:t>一同削减，直至总 PM</w:t>
                  </w:r>
                  <w:r>
                    <w:rPr>
                      <w:rFonts w:ascii="Times New Roman" w:hAnsi="Times New Roman" w:cs="Times New Roman"/>
                      <w:color w:val="auto"/>
                      <w:sz w:val="18"/>
                      <w:szCs w:val="18"/>
                      <w:highlight w:val="none"/>
                      <w:vertAlign w:val="subscript"/>
                    </w:rPr>
                    <w:t>2.5</w:t>
                  </w:r>
                  <w:r>
                    <w:rPr>
                      <w:rFonts w:ascii="Times New Roman" w:hAnsi="Times New Roman" w:cs="Times New Roman"/>
                      <w:color w:val="auto"/>
                      <w:sz w:val="18"/>
                      <w:szCs w:val="18"/>
                      <w:highlight w:val="none"/>
                    </w:rPr>
                    <w:t>满足环境容量要求，经计算，SO</w:t>
                  </w:r>
                  <w:r>
                    <w:rPr>
                      <w:rFonts w:ascii="Times New Roman" w:hAnsi="Times New Roman" w:cs="Times New Roman"/>
                      <w:color w:val="auto"/>
                      <w:sz w:val="18"/>
                      <w:szCs w:val="18"/>
                      <w:highlight w:val="none"/>
                      <w:vertAlign w:val="subscript"/>
                    </w:rPr>
                    <w:t>2</w:t>
                  </w:r>
                  <w:r>
                    <w:rPr>
                      <w:rFonts w:ascii="Times New Roman" w:hAnsi="Times New Roman" w:cs="Times New Roman"/>
                      <w:color w:val="auto"/>
                      <w:sz w:val="18"/>
                      <w:szCs w:val="18"/>
                      <w:highlight w:val="none"/>
                    </w:rPr>
                    <w:t>、NO</w:t>
                  </w:r>
                  <w:r>
                    <w:rPr>
                      <w:rFonts w:ascii="Times New Roman" w:hAnsi="Times New Roman" w:cs="Times New Roman"/>
                      <w:color w:val="auto"/>
                      <w:sz w:val="18"/>
                      <w:szCs w:val="18"/>
                      <w:highlight w:val="none"/>
                      <w:vertAlign w:val="subscript"/>
                    </w:rPr>
                    <w:t>2</w:t>
                  </w:r>
                  <w:r>
                    <w:rPr>
                      <w:rFonts w:ascii="Times New Roman" w:hAnsi="Times New Roman" w:cs="Times New Roman"/>
                      <w:color w:val="auto"/>
                      <w:sz w:val="18"/>
                      <w:szCs w:val="18"/>
                      <w:highlight w:val="none"/>
                    </w:rPr>
                    <w:t>、</w:t>
                  </w:r>
                  <w:r>
                    <w:rPr>
                      <w:rFonts w:hint="eastAsia" w:ascii="Times New Roman" w:hAnsi="Times New Roman" w:cs="Times New Roman"/>
                      <w:color w:val="auto"/>
                      <w:sz w:val="18"/>
                      <w:szCs w:val="18"/>
                      <w:highlight w:val="none"/>
                    </w:rPr>
                    <w:t>一次</w:t>
                  </w:r>
                  <w:r>
                    <w:rPr>
                      <w:rFonts w:ascii="Times New Roman" w:hAnsi="Times New Roman" w:cs="Times New Roman"/>
                      <w:color w:val="auto"/>
                      <w:sz w:val="18"/>
                      <w:szCs w:val="18"/>
                      <w:highlight w:val="none"/>
                    </w:rPr>
                    <w:t>PM</w:t>
                  </w:r>
                  <w:r>
                    <w:rPr>
                      <w:rFonts w:ascii="Times New Roman" w:hAnsi="Times New Roman" w:cs="Times New Roman"/>
                      <w:color w:val="auto"/>
                      <w:sz w:val="18"/>
                      <w:szCs w:val="18"/>
                      <w:highlight w:val="none"/>
                      <w:vertAlign w:val="subscript"/>
                    </w:rPr>
                    <w:t>2.5</w:t>
                  </w:r>
                  <w:r>
                    <w:rPr>
                      <w:rFonts w:ascii="Times New Roman" w:hAnsi="Times New Roman" w:cs="Times New Roman"/>
                      <w:color w:val="auto"/>
                      <w:sz w:val="18"/>
                      <w:szCs w:val="18"/>
                      <w:highlight w:val="none"/>
                    </w:rPr>
                    <w:t>削减量分别为4201.39 t/a、11121.87t/a、2359.90t/a</w:t>
                  </w:r>
                  <w:r>
                    <w:rPr>
                      <w:rFonts w:hint="eastAsia" w:ascii="Times New Roman" w:hAnsi="Times New Roman" w:cs="Times New Roman"/>
                      <w:color w:val="auto"/>
                      <w:sz w:val="18"/>
                      <w:szCs w:val="18"/>
                      <w:highlight w:val="none"/>
                    </w:rPr>
                    <w:t>；迁安经济开发区到规划远期</w:t>
                  </w:r>
                  <w:r>
                    <w:rPr>
                      <w:rFonts w:ascii="Times New Roman" w:hAnsi="Times New Roman" w:cs="Times New Roman"/>
                      <w:color w:val="auto"/>
                      <w:sz w:val="18"/>
                      <w:szCs w:val="18"/>
                      <w:highlight w:val="none"/>
                    </w:rPr>
                    <w:t xml:space="preserve"> 2030 年，即使 52.5526km²范围内全部落满工业</w:t>
                  </w:r>
                  <w:r>
                    <w:rPr>
                      <w:rFonts w:hint="eastAsia" w:ascii="Times New Roman" w:hAnsi="Times New Roman" w:cs="Times New Roman"/>
                      <w:color w:val="auto"/>
                      <w:sz w:val="18"/>
                      <w:szCs w:val="18"/>
                      <w:highlight w:val="none"/>
                    </w:rPr>
                    <w:t>企业，最大需增加耕地转工业用地</w:t>
                  </w:r>
                  <w:r>
                    <w:rPr>
                      <w:rFonts w:ascii="Times New Roman" w:hAnsi="Times New Roman" w:cs="Times New Roman"/>
                      <w:color w:val="auto"/>
                      <w:sz w:val="18"/>
                      <w:szCs w:val="18"/>
                      <w:highlight w:val="none"/>
                    </w:rPr>
                    <w:t xml:space="preserve"> 1145.47 公顷，占迁安市新增建设用地规模指</w:t>
                  </w:r>
                  <w:r>
                    <w:rPr>
                      <w:rFonts w:hint="eastAsia" w:ascii="Times New Roman" w:hAnsi="Times New Roman" w:cs="Times New Roman"/>
                      <w:color w:val="auto"/>
                      <w:sz w:val="18"/>
                      <w:szCs w:val="18"/>
                      <w:highlight w:val="none"/>
                    </w:rPr>
                    <w:t>标</w:t>
                  </w:r>
                  <w:r>
                    <w:rPr>
                      <w:rFonts w:ascii="Times New Roman" w:hAnsi="Times New Roman" w:cs="Times New Roman"/>
                      <w:color w:val="auto"/>
                      <w:sz w:val="18"/>
                      <w:szCs w:val="18"/>
                      <w:highlight w:val="none"/>
                    </w:rPr>
                    <w:t xml:space="preserve"> 7516.87 公顷的 15.24%。迁安市 2015-2020 年通过土地复垦、土地开发补充耕</w:t>
                  </w:r>
                  <w:r>
                    <w:rPr>
                      <w:rFonts w:hint="eastAsia" w:ascii="Times New Roman" w:hAnsi="Times New Roman" w:cs="Times New Roman"/>
                      <w:color w:val="auto"/>
                      <w:sz w:val="18"/>
                      <w:szCs w:val="18"/>
                      <w:highlight w:val="none"/>
                    </w:rPr>
                    <w:t>地指标</w:t>
                  </w:r>
                  <w:r>
                    <w:rPr>
                      <w:rFonts w:ascii="Times New Roman" w:hAnsi="Times New Roman" w:cs="Times New Roman"/>
                      <w:color w:val="auto"/>
                      <w:sz w:val="18"/>
                      <w:szCs w:val="18"/>
                      <w:highlight w:val="none"/>
                    </w:rPr>
                    <w:t xml:space="preserve"> 6618.64 公顷，完全满足迁安经济开发区发展需要。迁安经济开发区具有</w:t>
                  </w:r>
                  <w:r>
                    <w:rPr>
                      <w:rFonts w:hint="eastAsia" w:ascii="Times New Roman" w:hAnsi="Times New Roman" w:cs="Times New Roman"/>
                      <w:color w:val="auto"/>
                      <w:sz w:val="18"/>
                      <w:szCs w:val="18"/>
                      <w:highlight w:val="none"/>
                    </w:rPr>
                    <w:t>较强的土地资源承载力；进入开发区的项目应符合国家、河北省、唐山市各项产业政策。严禁各项产业政策明令淘汰或禁止的产业、生产工艺及装备进入开发区。生产工艺或污染防治技术不成熟的项目不得进入本开发区。</w:t>
                  </w:r>
                </w:p>
              </w:tc>
              <w:tc>
                <w:tcPr>
                  <w:tcW w:w="3030" w:type="dxa"/>
                  <w:tcMar>
                    <w:left w:w="0" w:type="dxa"/>
                    <w:right w:w="0" w:type="dxa"/>
                  </w:tcMar>
                  <w:vAlign w:val="center"/>
                </w:tcPr>
                <w:p>
                  <w:pPr>
                    <w:pStyle w:val="15"/>
                    <w:spacing w:line="0" w:lineRule="atLeast"/>
                    <w:ind w:firstLine="210" w:firstLineChars="100"/>
                    <w:jc w:val="center"/>
                    <w:rPr>
                      <w:rFonts w:ascii="Times New Roman" w:hAnsi="Times New Roman"/>
                      <w:color w:val="auto"/>
                      <w:sz w:val="21"/>
                      <w:szCs w:val="21"/>
                      <w:highlight w:val="none"/>
                    </w:rPr>
                  </w:pPr>
                  <w:r>
                    <w:rPr>
                      <w:rFonts w:ascii="Times New Roman" w:hAnsi="Times New Roman"/>
                      <w:color w:val="auto"/>
                      <w:sz w:val="21"/>
                      <w:szCs w:val="21"/>
                      <w:highlight w:val="none"/>
                    </w:rPr>
                    <w:t>本项目位于河北迁安经济开发区</w:t>
                  </w:r>
                  <w:r>
                    <w:rPr>
                      <w:rFonts w:hint="eastAsia" w:ascii="Times New Roman" w:hAnsi="Times New Roman"/>
                      <w:color w:val="auto"/>
                      <w:sz w:val="21"/>
                      <w:szCs w:val="21"/>
                      <w:highlight w:val="none"/>
                    </w:rPr>
                    <w:t>的智能创新产业园中</w:t>
                  </w:r>
                  <w:r>
                    <w:rPr>
                      <w:rFonts w:hint="eastAsia"/>
                      <w:color w:val="auto"/>
                      <w:sz w:val="21"/>
                      <w:szCs w:val="21"/>
                      <w:highlight w:val="none"/>
                      <w:lang w:eastAsia="zh-CN"/>
                    </w:rPr>
                    <w:t>装备制造区</w:t>
                  </w:r>
                  <w:r>
                    <w:rPr>
                      <w:rFonts w:hint="eastAsia" w:ascii="Times New Roman" w:hAnsi="Times New Roman"/>
                      <w:color w:val="auto"/>
                      <w:sz w:val="21"/>
                      <w:szCs w:val="21"/>
                      <w:highlight w:val="none"/>
                    </w:rPr>
                    <w:t>，用地类型为三类工业用地，规划土地类型为工业用地；本项目符合“</w:t>
                  </w:r>
                  <w:r>
                    <w:rPr>
                      <w:rFonts w:ascii="Times New Roman" w:hAnsi="Times New Roman"/>
                      <w:color w:val="auto"/>
                      <w:sz w:val="21"/>
                      <w:szCs w:val="21"/>
                      <w:highlight w:val="none"/>
                    </w:rPr>
                    <w:t>三线一单</w:t>
                  </w:r>
                  <w:r>
                    <w:rPr>
                      <w:rFonts w:hint="eastAsia" w:ascii="Times New Roman" w:hAnsi="Times New Roman"/>
                      <w:color w:val="auto"/>
                      <w:sz w:val="21"/>
                      <w:szCs w:val="21"/>
                      <w:highlight w:val="none"/>
                    </w:rPr>
                    <w:t>”要求，且不在园区“负面准入清单”中要求；本项目为</w:t>
                  </w:r>
                  <w:r>
                    <w:rPr>
                      <w:rFonts w:hint="eastAsia" w:ascii="Times New Roman" w:hAnsi="Times New Roman"/>
                      <w:color w:val="auto"/>
                      <w:sz w:val="21"/>
                      <w:szCs w:val="21"/>
                      <w:highlight w:val="none"/>
                      <w:lang w:eastAsia="zh-CN"/>
                    </w:rPr>
                    <w:t>金属制品业</w:t>
                  </w:r>
                  <w:r>
                    <w:rPr>
                      <w:rFonts w:hint="eastAsia" w:ascii="Times New Roman" w:hAnsi="Times New Roman"/>
                      <w:color w:val="auto"/>
                      <w:sz w:val="21"/>
                      <w:szCs w:val="21"/>
                      <w:highlight w:val="none"/>
                    </w:rPr>
                    <w:t>，不属于各项产业政策明令淘汰或禁止的产业、生产工艺及装备，生产工艺或污染防治技术成熟，项目符合国家、河北省、唐山市各项产业政策。</w:t>
                  </w:r>
                </w:p>
              </w:tc>
              <w:tc>
                <w:tcPr>
                  <w:tcW w:w="355" w:type="dxa"/>
                  <w:vMerge w:val="continue"/>
                  <w:tcMar>
                    <w:left w:w="0" w:type="dxa"/>
                    <w:right w:w="0" w:type="dxa"/>
                  </w:tcMar>
                  <w:vAlign w:val="center"/>
                </w:tcPr>
                <w:p>
                  <w:pPr>
                    <w:pStyle w:val="15"/>
                    <w:spacing w:line="0" w:lineRule="atLeast"/>
                    <w:jc w:val="center"/>
                    <w:rPr>
                      <w:rFonts w:ascii="Times New Roman" w:hAnsi="Times New Roman"/>
                      <w:color w:val="auto"/>
                      <w:sz w:val="21"/>
                      <w:szCs w:val="21"/>
                      <w:highlight w:val="none"/>
                    </w:rPr>
                  </w:pP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2、审查意见的函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河北省生态环境厅2019年4月13日出具了《关于转送河北迁安经济开发区总体规划修编（2018年-2030年）环境影响报告书审查意见的函 (冀环环评函[2019]411号)。</w:t>
            </w:r>
          </w:p>
          <w:p>
            <w:pPr>
              <w:spacing w:line="440" w:lineRule="exact"/>
              <w:jc w:val="center"/>
              <w:rPr>
                <w:rFonts w:ascii="Times New Roman" w:hAnsi="Times New Roman" w:eastAsia="黑体" w:cs="Times New Roman"/>
                <w:color w:val="auto"/>
                <w:sz w:val="24"/>
                <w:szCs w:val="24"/>
                <w:highlight w:val="none"/>
              </w:rPr>
            </w:pPr>
          </w:p>
          <w:p>
            <w:pPr>
              <w:spacing w:line="440" w:lineRule="exact"/>
              <w:jc w:val="center"/>
              <w:rPr>
                <w:rFonts w:ascii="Times New Roman" w:hAnsi="Times New Roman" w:eastAsia="黑体" w:cs="Times New Roman"/>
                <w:color w:val="auto"/>
                <w:sz w:val="24"/>
                <w:szCs w:val="24"/>
                <w:highlight w:val="none"/>
              </w:rPr>
            </w:pPr>
          </w:p>
          <w:p>
            <w:pPr>
              <w:spacing w:line="440" w:lineRule="exact"/>
              <w:jc w:val="center"/>
              <w:rPr>
                <w:rFonts w:ascii="Times New Roman" w:hAnsi="Times New Roman" w:eastAsia="黑体" w:cs="Times New Roman"/>
                <w:color w:val="auto"/>
                <w:sz w:val="24"/>
                <w:szCs w:val="24"/>
                <w:highlight w:val="none"/>
              </w:rPr>
            </w:pPr>
          </w:p>
          <w:p>
            <w:pPr>
              <w:spacing w:line="440" w:lineRule="exact"/>
              <w:jc w:val="center"/>
              <w:rPr>
                <w:rFonts w:ascii="Times New Roman" w:hAnsi="Times New Roman" w:eastAsia="黑体" w:cs="Times New Roman"/>
                <w:color w:val="auto"/>
                <w:sz w:val="24"/>
                <w:szCs w:val="24"/>
                <w:highlight w:val="none"/>
              </w:rPr>
            </w:pPr>
          </w:p>
          <w:p>
            <w:pPr>
              <w:spacing w:line="440" w:lineRule="exact"/>
              <w:jc w:val="center"/>
              <w:rPr>
                <w:rFonts w:ascii="Times New Roman" w:hAnsi="Times New Roman" w:eastAsia="黑体" w:cs="Times New Roman"/>
                <w:color w:val="auto"/>
                <w:sz w:val="24"/>
                <w:szCs w:val="24"/>
                <w:highlight w:val="none"/>
              </w:rPr>
            </w:pPr>
            <w:r>
              <w:rPr>
                <w:rFonts w:ascii="Times New Roman" w:hAnsi="Times New Roman" w:eastAsia="黑体" w:cs="Times New Roman"/>
                <w:color w:val="auto"/>
                <w:sz w:val="24"/>
                <w:szCs w:val="24"/>
                <w:highlight w:val="none"/>
              </w:rPr>
              <w:t>表</w:t>
            </w:r>
            <w:r>
              <w:rPr>
                <w:rFonts w:hint="eastAsia" w:eastAsia="黑体" w:cs="Times New Roman"/>
                <w:color w:val="auto"/>
                <w:sz w:val="24"/>
                <w:szCs w:val="24"/>
                <w:highlight w:val="none"/>
                <w:lang w:val="en-US" w:eastAsia="zh-CN"/>
              </w:rPr>
              <w:t>10</w:t>
            </w:r>
            <w:r>
              <w:rPr>
                <w:rFonts w:ascii="Times New Roman" w:hAnsi="Times New Roman" w:eastAsia="黑体" w:cs="Times New Roman"/>
                <w:color w:val="auto"/>
                <w:sz w:val="24"/>
                <w:szCs w:val="24"/>
                <w:highlight w:val="none"/>
              </w:rPr>
              <w:t xml:space="preserve">  </w:t>
            </w:r>
            <w:r>
              <w:rPr>
                <w:rFonts w:hint="eastAsia" w:ascii="Times New Roman" w:hAnsi="Times New Roman" w:eastAsia="黑体" w:cs="Times New Roman"/>
                <w:color w:val="auto"/>
                <w:sz w:val="24"/>
                <w:szCs w:val="24"/>
                <w:highlight w:val="none"/>
              </w:rPr>
              <w:t>本项目与河北迁安经济开发区总体规划修编（2018年-2030年）环境影响报告书审查意见的函符合性分析</w:t>
            </w:r>
          </w:p>
          <w:tbl>
            <w:tblPr>
              <w:tblStyle w:val="31"/>
              <w:tblW w:w="5000"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421"/>
              <w:gridCol w:w="5939"/>
              <w:gridCol w:w="2284"/>
              <w:gridCol w:w="511"/>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blHeader/>
              </w:trPr>
              <w:tc>
                <w:tcPr>
                  <w:tcW w:w="392" w:type="dxa"/>
                  <w:tcBorders>
                    <w:top w:val="single" w:color="000000" w:sz="12" w:space="0"/>
                    <w:bottom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序号</w:t>
                  </w:r>
                </w:p>
              </w:tc>
              <w:tc>
                <w:tcPr>
                  <w:tcW w:w="5528" w:type="dxa"/>
                  <w:tcBorders>
                    <w:top w:val="single" w:color="000000" w:sz="12" w:space="0"/>
                    <w:bottom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审查意见的函</w:t>
                  </w:r>
                  <w:r>
                    <w:rPr>
                      <w:rFonts w:ascii="Times New Roman" w:hAnsi="Times New Roman"/>
                      <w:color w:val="auto"/>
                      <w:sz w:val="21"/>
                      <w:szCs w:val="21"/>
                      <w:highlight w:val="none"/>
                    </w:rPr>
                    <w:t>要求</w:t>
                  </w:r>
                </w:p>
              </w:tc>
              <w:tc>
                <w:tcPr>
                  <w:tcW w:w="2126" w:type="dxa"/>
                  <w:tcBorders>
                    <w:top w:val="single" w:color="000000" w:sz="12" w:space="0"/>
                    <w:bottom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本项目</w:t>
                  </w:r>
                  <w:r>
                    <w:rPr>
                      <w:rFonts w:ascii="Times New Roman" w:hAnsi="Times New Roman"/>
                      <w:color w:val="auto"/>
                      <w:sz w:val="21"/>
                      <w:szCs w:val="21"/>
                      <w:highlight w:val="none"/>
                    </w:rPr>
                    <w:t>实施情况</w:t>
                  </w:r>
                </w:p>
              </w:tc>
              <w:tc>
                <w:tcPr>
                  <w:tcW w:w="476" w:type="dxa"/>
                  <w:tcBorders>
                    <w:top w:val="single" w:color="000000" w:sz="12" w:space="0"/>
                    <w:bottom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结论</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74" w:hRule="atLeast"/>
              </w:trPr>
              <w:tc>
                <w:tcPr>
                  <w:tcW w:w="392"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1</w:t>
                  </w:r>
                </w:p>
              </w:tc>
              <w:tc>
                <w:tcPr>
                  <w:tcW w:w="5528"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一）强化循环经济和低碳经济理念，贯彻清洁生产、达标排放、总量控制原则，坚持开发区建设与环境建设同步规划、同步实施、同步发展，确保产业发展方向与循环经济产业链延伸相协调。结合当地区域经济、社会和资源环境状况，以推进生态质量改善及推动产业转型升级为目标，在环境保护与发展中贯彻保护优先的要求。</w:t>
                  </w:r>
                </w:p>
              </w:tc>
              <w:tc>
                <w:tcPr>
                  <w:tcW w:w="212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本项目各污染物均达标排放，符合总量控制。</w:t>
                  </w:r>
                </w:p>
              </w:tc>
              <w:tc>
                <w:tcPr>
                  <w:tcW w:w="47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392"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2</w:t>
                  </w:r>
                </w:p>
              </w:tc>
              <w:tc>
                <w:tcPr>
                  <w:tcW w:w="5528"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二）加强环境准入，推动产业转型升级和绿色发展。入区企业应符合《关于促进京津冀地区经济社会与生态环境保护协调发展的指导意见》（环办环评[2018]24号）、《产业结构调整指导目录(2011年本)》（2013年修订）、《河北省新增限制和淘汰类产业目录（2015年版）》、《关于促进焦化行业结构调整高质量发展的若干政策措施》等文件规定要求，严格落实环评报告中生态环境准入清单的要求。开发区钢铁、焦化、平板玻璃等行业不得突破规划产能上限，落实省政府及有关部门关于地下水开采政策，开发区逐步减少地下水用量，增加地表水和中水回用量，限制高耗水行业入区。</w:t>
                  </w:r>
                </w:p>
              </w:tc>
              <w:tc>
                <w:tcPr>
                  <w:tcW w:w="2126" w:type="dxa"/>
                  <w:vAlign w:val="center"/>
                </w:tcPr>
                <w:p>
                  <w:pPr>
                    <w:pStyle w:val="15"/>
                    <w:tabs>
                      <w:tab w:val="left" w:pos="642"/>
                    </w:tabs>
                    <w:snapToGrid w:val="0"/>
                    <w:jc w:val="center"/>
                    <w:rPr>
                      <w:rFonts w:ascii="Times New Roman"/>
                      <w:color w:val="auto"/>
                      <w:sz w:val="21"/>
                      <w:szCs w:val="21"/>
                      <w:highlight w:val="none"/>
                    </w:rPr>
                  </w:pPr>
                  <w:r>
                    <w:rPr>
                      <w:rFonts w:hint="eastAsia" w:ascii="Times New Roman"/>
                      <w:color w:val="auto"/>
                      <w:sz w:val="21"/>
                      <w:szCs w:val="21"/>
                      <w:highlight w:val="none"/>
                    </w:rPr>
                    <w:t>本项目不属于限制类及淘汰类产业，项目用水依托现有供水管网，</w:t>
                  </w:r>
                  <w:r>
                    <w:rPr>
                      <w:rFonts w:hint="eastAsia" w:ascii="Times New Roman"/>
                      <w:color w:val="auto"/>
                      <w:sz w:val="21"/>
                      <w:szCs w:val="21"/>
                      <w:highlight w:val="none"/>
                      <w:lang w:eastAsia="zh-CN"/>
                    </w:rPr>
                    <w:t>由园区统一供水</w:t>
                  </w:r>
                  <w:r>
                    <w:rPr>
                      <w:rFonts w:hint="eastAsia" w:ascii="Times New Roman"/>
                      <w:color w:val="auto"/>
                      <w:sz w:val="21"/>
                      <w:szCs w:val="21"/>
                      <w:highlight w:val="none"/>
                    </w:rPr>
                    <w:t>。</w:t>
                  </w:r>
                </w:p>
              </w:tc>
              <w:tc>
                <w:tcPr>
                  <w:tcW w:w="476" w:type="dxa"/>
                  <w:vAlign w:val="center"/>
                </w:tcPr>
                <w:p>
                  <w:pPr>
                    <w:pStyle w:val="15"/>
                    <w:tabs>
                      <w:tab w:val="left" w:pos="642"/>
                    </w:tabs>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392"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3</w:t>
                  </w:r>
                </w:p>
              </w:tc>
              <w:tc>
                <w:tcPr>
                  <w:tcW w:w="5528"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三）加强空间管制，优化生产空间和生活空间。严格落实环评报告中空间管控要求，控制开发区边界外居民点向工业区方向发展，按照修编规划及环境影响报告书中的搬迁要求和相关方案尽快完成搬迁任务，减少突发事件可能对居民区产生的影响。</w:t>
                  </w:r>
                </w:p>
              </w:tc>
              <w:tc>
                <w:tcPr>
                  <w:tcW w:w="2126" w:type="dxa"/>
                  <w:vAlign w:val="center"/>
                </w:tcPr>
                <w:p>
                  <w:pPr>
                    <w:pStyle w:val="15"/>
                    <w:tabs>
                      <w:tab w:val="left" w:pos="642"/>
                    </w:tabs>
                    <w:adjustRightInd w:val="0"/>
                    <w:snapToGrid w:val="0"/>
                    <w:jc w:val="center"/>
                    <w:rPr>
                      <w:rFonts w:ascii="Times New Roman" w:hAnsi="Times New Roman"/>
                      <w:bCs/>
                      <w:color w:val="auto"/>
                      <w:sz w:val="21"/>
                      <w:szCs w:val="21"/>
                      <w:highlight w:val="none"/>
                    </w:rPr>
                  </w:pPr>
                  <w:r>
                    <w:rPr>
                      <w:rFonts w:hint="eastAsia" w:ascii="Times New Roman" w:hAnsi="Times New Roman"/>
                      <w:bCs/>
                      <w:color w:val="auto"/>
                      <w:sz w:val="21"/>
                      <w:szCs w:val="21"/>
                      <w:highlight w:val="none"/>
                    </w:rPr>
                    <w:t>本项目位于现有厂区内，周边不涉及搬迁任务，项目不设大气防护距离</w:t>
                  </w:r>
                  <w:r>
                    <w:rPr>
                      <w:rFonts w:hint="eastAsia" w:ascii="Times New Roman" w:hAnsi="Times New Roman"/>
                      <w:bCs/>
                      <w:color w:val="auto"/>
                      <w:sz w:val="21"/>
                      <w:szCs w:val="21"/>
                      <w:highlight w:val="none"/>
                      <w:lang w:eastAsia="zh-CN"/>
                    </w:rPr>
                    <w:t>，</w:t>
                  </w:r>
                  <w:r>
                    <w:rPr>
                      <w:rFonts w:hint="eastAsia" w:ascii="Times New Roman" w:hAnsi="Times New Roman"/>
                      <w:bCs/>
                      <w:color w:val="auto"/>
                      <w:sz w:val="21"/>
                      <w:szCs w:val="21"/>
                      <w:highlight w:val="none"/>
                    </w:rPr>
                    <w:t>距离</w:t>
                  </w:r>
                  <w:r>
                    <w:rPr>
                      <w:rFonts w:hint="eastAsia" w:ascii="Times New Roman" w:hAnsi="Times New Roman"/>
                      <w:bCs/>
                      <w:color w:val="auto"/>
                      <w:sz w:val="21"/>
                      <w:szCs w:val="21"/>
                      <w:highlight w:val="none"/>
                      <w:lang w:eastAsia="zh-CN"/>
                    </w:rPr>
                    <w:t>最近</w:t>
                  </w:r>
                  <w:r>
                    <w:rPr>
                      <w:rFonts w:hint="eastAsia" w:ascii="Times New Roman" w:hAnsi="Times New Roman"/>
                      <w:bCs/>
                      <w:color w:val="auto"/>
                      <w:sz w:val="21"/>
                      <w:szCs w:val="21"/>
                      <w:highlight w:val="none"/>
                    </w:rPr>
                    <w:t>敏感点</w:t>
                  </w:r>
                  <w:r>
                    <w:rPr>
                      <w:rFonts w:hint="eastAsia" w:ascii="Times New Roman" w:hAnsi="Times New Roman"/>
                      <w:bCs/>
                      <w:color w:val="auto"/>
                      <w:sz w:val="21"/>
                      <w:szCs w:val="21"/>
                      <w:highlight w:val="none"/>
                      <w:lang w:eastAsia="zh-CN"/>
                    </w:rPr>
                    <w:t>为厂区北侧</w:t>
                  </w:r>
                  <w:r>
                    <w:rPr>
                      <w:rFonts w:hint="eastAsia" w:ascii="Times New Roman" w:hAnsi="Times New Roman"/>
                      <w:bCs/>
                      <w:color w:val="auto"/>
                      <w:sz w:val="21"/>
                      <w:szCs w:val="21"/>
                      <w:highlight w:val="none"/>
                      <w:lang w:val="en-US" w:eastAsia="zh-CN"/>
                    </w:rPr>
                    <w:t>900m的</w:t>
                  </w:r>
                  <w:r>
                    <w:rPr>
                      <w:rFonts w:hint="eastAsia"/>
                      <w:color w:val="auto"/>
                      <w:sz w:val="21"/>
                      <w:szCs w:val="21"/>
                      <w:highlight w:val="none"/>
                      <w:lang w:val="en-US" w:eastAsia="zh-CN"/>
                    </w:rPr>
                    <w:t>任官营村</w:t>
                  </w:r>
                  <w:r>
                    <w:rPr>
                      <w:rFonts w:hint="eastAsia" w:ascii="Times New Roman" w:hAnsi="Times New Roman"/>
                      <w:bCs/>
                      <w:color w:val="auto"/>
                      <w:sz w:val="21"/>
                      <w:szCs w:val="21"/>
                      <w:highlight w:val="none"/>
                    </w:rPr>
                    <w:t>。</w:t>
                  </w:r>
                </w:p>
              </w:tc>
              <w:tc>
                <w:tcPr>
                  <w:tcW w:w="476" w:type="dxa"/>
                  <w:vAlign w:val="center"/>
                </w:tcPr>
                <w:p>
                  <w:pPr>
                    <w:pStyle w:val="15"/>
                    <w:tabs>
                      <w:tab w:val="left" w:pos="642"/>
                    </w:tabs>
                    <w:adjustRightInd w:val="0"/>
                    <w:snapToGrid w:val="0"/>
                    <w:jc w:val="center"/>
                    <w:rPr>
                      <w:rFonts w:ascii="Times New Roman" w:hAnsi="Times New Roman"/>
                      <w:bCs/>
                      <w:color w:val="auto"/>
                      <w:sz w:val="21"/>
                      <w:szCs w:val="21"/>
                      <w:highlight w:val="none"/>
                    </w:rPr>
                  </w:pPr>
                  <w:r>
                    <w:rPr>
                      <w:rFonts w:hint="eastAsia" w:ascii="Times New Roman" w:hAnsi="Times New Roman"/>
                      <w:bCs/>
                      <w:color w:val="auto"/>
                      <w:sz w:val="21"/>
                      <w:szCs w:val="21"/>
                      <w:highlight w:val="none"/>
                    </w:rPr>
                    <w:t>符合</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392"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4</w:t>
                  </w:r>
                </w:p>
              </w:tc>
              <w:tc>
                <w:tcPr>
                  <w:tcW w:w="5528"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四）加强总量管控，推进环境质量改善。按照最不利条件并预留一定安全余量的原则，环评中提出的污染物排放总量控制上线作为开发区污染物排放总量管控限值。严格落实区域污染物削减方案，并不断提升技术工艺及节能节水控污水平，推动环境质量改善。</w:t>
                  </w:r>
                </w:p>
              </w:tc>
              <w:tc>
                <w:tcPr>
                  <w:tcW w:w="2126" w:type="dxa"/>
                  <w:vAlign w:val="center"/>
                </w:tcPr>
                <w:p>
                  <w:pPr>
                    <w:pStyle w:val="15"/>
                    <w:tabs>
                      <w:tab w:val="left" w:pos="642"/>
                    </w:tabs>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根据环境空气环境影响预测与评价，</w:t>
                  </w:r>
                  <w:r>
                    <w:rPr>
                      <w:rFonts w:hint="eastAsia" w:ascii="Times New Roman" w:hAnsi="Times New Roman"/>
                      <w:color w:val="auto"/>
                      <w:sz w:val="21"/>
                      <w:szCs w:val="21"/>
                      <w:highlight w:val="none"/>
                      <w:lang w:eastAsia="zh-CN"/>
                    </w:rPr>
                    <w:t>各污染物均能达标排放，不会对周围</w:t>
                  </w:r>
                  <w:r>
                    <w:rPr>
                      <w:rFonts w:hint="eastAsia" w:ascii="Times New Roman" w:hAnsi="Times New Roman"/>
                      <w:color w:val="auto"/>
                      <w:sz w:val="21"/>
                      <w:szCs w:val="21"/>
                      <w:highlight w:val="none"/>
                    </w:rPr>
                    <w:t>环境质量</w:t>
                  </w:r>
                  <w:r>
                    <w:rPr>
                      <w:rFonts w:hint="eastAsia" w:ascii="Times New Roman" w:hAnsi="Times New Roman"/>
                      <w:color w:val="auto"/>
                      <w:sz w:val="21"/>
                      <w:szCs w:val="21"/>
                      <w:highlight w:val="none"/>
                      <w:lang w:eastAsia="zh-CN"/>
                    </w:rPr>
                    <w:t>造成冲击性影响</w:t>
                  </w:r>
                  <w:r>
                    <w:rPr>
                      <w:rFonts w:hint="eastAsia" w:ascii="Times New Roman" w:hAnsi="Times New Roman"/>
                      <w:color w:val="auto"/>
                      <w:sz w:val="21"/>
                      <w:szCs w:val="21"/>
                      <w:highlight w:val="none"/>
                    </w:rPr>
                    <w:t>。</w:t>
                  </w:r>
                </w:p>
              </w:tc>
              <w:tc>
                <w:tcPr>
                  <w:tcW w:w="476" w:type="dxa"/>
                  <w:vAlign w:val="center"/>
                </w:tcPr>
                <w:p>
                  <w:pPr>
                    <w:pStyle w:val="15"/>
                    <w:tabs>
                      <w:tab w:val="left" w:pos="642"/>
                    </w:tabs>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392"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5</w:t>
                  </w:r>
                </w:p>
              </w:tc>
              <w:tc>
                <w:tcPr>
                  <w:tcW w:w="5528"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五）加强规划环评与项目环评联动。切实发挥规划环评和项目环评预防环境污染和生态破坏的作用，项目环评文件应落实规划环评提出的各项要求，选址符合性分析、区域大气环境容量及总量控制、配套基础设施可行性可适当简化。同时，应重点开展项目准入条件符合性、工程分析、布局合理性、环保措施的可行性论证、污染物排放量与总量控制指标、大气环境防护距离符合性、清洁生产水平分析，并关注开发区基础设施及应急体系保障能力建设，强化环境监测和环境保护相关措施的落实。</w:t>
                  </w:r>
                </w:p>
              </w:tc>
              <w:tc>
                <w:tcPr>
                  <w:tcW w:w="2126" w:type="dxa"/>
                  <w:vAlign w:val="center"/>
                </w:tcPr>
                <w:p>
                  <w:pPr>
                    <w:pStyle w:val="15"/>
                    <w:tabs>
                      <w:tab w:val="left" w:pos="642"/>
                    </w:tabs>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本项目建设符合规划环评规划要求，对重点开展环节进行了分析，提出环境监测和环境保护“三同时”。</w:t>
                  </w:r>
                </w:p>
              </w:tc>
              <w:tc>
                <w:tcPr>
                  <w:tcW w:w="476" w:type="dxa"/>
                  <w:vAlign w:val="center"/>
                </w:tcPr>
                <w:p>
                  <w:pPr>
                    <w:pStyle w:val="15"/>
                    <w:tabs>
                      <w:tab w:val="left" w:pos="642"/>
                    </w:tabs>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392"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6</w:t>
                  </w:r>
                </w:p>
              </w:tc>
              <w:tc>
                <w:tcPr>
                  <w:tcW w:w="5528"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六）注重开发区发展与区域资源承载力相协调，统筹规划建设开发区配套的基础设施。开发区供水依托现有供水管网，依托现有供水厂供水，取缔无证自备水井；再生水由开发区污水厂和沙河驿污水处理厂提供；废水由开发区污水厂和沙河驿污水处理厂处理，并应尽快完成深度处理工艺的提升改造，确保开发区污水排放满足地表水Ⅳ类标准要求；供热由迁安市翅翼热力有限公司和各钢铁企业利用余热提供。落实土地占补平衡要求，合理调整土地利用规划。</w:t>
                  </w:r>
                </w:p>
              </w:tc>
              <w:tc>
                <w:tcPr>
                  <w:tcW w:w="2126" w:type="dxa"/>
                  <w:vAlign w:val="center"/>
                </w:tcPr>
                <w:p>
                  <w:pPr>
                    <w:pStyle w:val="15"/>
                    <w:tabs>
                      <w:tab w:val="left" w:pos="642"/>
                    </w:tabs>
                    <w:snapToGrid w:val="0"/>
                    <w:jc w:val="center"/>
                    <w:rPr>
                      <w:rFonts w:hint="eastAsia" w:ascii="Times New Roman" w:hAnsi="Times New Roman" w:eastAsia="宋体"/>
                      <w:color w:val="auto"/>
                      <w:sz w:val="21"/>
                      <w:szCs w:val="21"/>
                      <w:highlight w:val="none"/>
                      <w:lang w:eastAsia="zh-CN"/>
                    </w:rPr>
                  </w:pPr>
                  <w:r>
                    <w:rPr>
                      <w:rFonts w:ascii="Times New Roman" w:hAnsi="Times New Roman"/>
                      <w:color w:val="auto"/>
                      <w:sz w:val="21"/>
                      <w:szCs w:val="21"/>
                      <w:highlight w:val="none"/>
                    </w:rPr>
                    <w:t>本项目</w:t>
                  </w:r>
                  <w:r>
                    <w:rPr>
                      <w:rFonts w:hint="eastAsia" w:ascii="Times New Roman" w:hAnsi="Times New Roman"/>
                      <w:color w:val="auto"/>
                      <w:sz w:val="21"/>
                      <w:szCs w:val="21"/>
                      <w:highlight w:val="none"/>
                      <w:lang w:eastAsia="zh-CN"/>
                    </w:rPr>
                    <w:t>无新增生产废水</w:t>
                  </w:r>
                  <w:r>
                    <w:rPr>
                      <w:rFonts w:hint="eastAsia" w:ascii="Times New Roman" w:hAnsi="Times New Roman"/>
                      <w:color w:val="auto"/>
                      <w:sz w:val="21"/>
                      <w:szCs w:val="21"/>
                      <w:highlight w:val="none"/>
                    </w:rPr>
                    <w:t>，</w:t>
                  </w:r>
                  <w:r>
                    <w:rPr>
                      <w:rFonts w:hint="eastAsia" w:ascii="Times New Roman" w:hAnsi="Times New Roman"/>
                      <w:color w:val="auto"/>
                      <w:sz w:val="21"/>
                      <w:szCs w:val="21"/>
                      <w:highlight w:val="none"/>
                      <w:lang w:eastAsia="zh-CN"/>
                    </w:rPr>
                    <w:t>生活污水排入园区污水处理厂</w:t>
                  </w:r>
                </w:p>
              </w:tc>
              <w:tc>
                <w:tcPr>
                  <w:tcW w:w="476" w:type="dxa"/>
                  <w:vAlign w:val="center"/>
                </w:tcPr>
                <w:p>
                  <w:pPr>
                    <w:pStyle w:val="15"/>
                    <w:tabs>
                      <w:tab w:val="left" w:pos="642"/>
                    </w:tabs>
                    <w:snapToGrid w:val="0"/>
                    <w:jc w:val="center"/>
                    <w:rPr>
                      <w:rFonts w:ascii="Times New Roman" w:hAnsi="Times New Roman"/>
                      <w:bCs/>
                      <w:color w:val="auto"/>
                      <w:sz w:val="21"/>
                      <w:szCs w:val="21"/>
                      <w:highlight w:val="none"/>
                    </w:rPr>
                  </w:pPr>
                </w:p>
                <w:p>
                  <w:pPr>
                    <w:pStyle w:val="15"/>
                    <w:tabs>
                      <w:tab w:val="left" w:pos="642"/>
                    </w:tabs>
                    <w:snapToGrid w:val="0"/>
                    <w:jc w:val="center"/>
                    <w:rPr>
                      <w:rFonts w:ascii="Times New Roman" w:hAnsi="Times New Roman"/>
                      <w:bCs/>
                      <w:color w:val="auto"/>
                      <w:sz w:val="21"/>
                      <w:szCs w:val="21"/>
                      <w:highlight w:val="none"/>
                    </w:rPr>
                  </w:pPr>
                </w:p>
                <w:p>
                  <w:pPr>
                    <w:pStyle w:val="15"/>
                    <w:tabs>
                      <w:tab w:val="left" w:pos="642"/>
                    </w:tabs>
                    <w:snapToGrid w:val="0"/>
                    <w:jc w:val="center"/>
                    <w:rPr>
                      <w:rFonts w:ascii="Times New Roman" w:hAnsi="Times New Roman"/>
                      <w:bCs/>
                      <w:color w:val="auto"/>
                      <w:sz w:val="21"/>
                      <w:szCs w:val="21"/>
                      <w:highlight w:val="none"/>
                    </w:rPr>
                  </w:pPr>
                  <w:r>
                    <w:rPr>
                      <w:rFonts w:hint="eastAsia" w:ascii="Times New Roman" w:hAnsi="Times New Roman"/>
                      <w:bCs/>
                      <w:color w:val="auto"/>
                      <w:sz w:val="21"/>
                      <w:szCs w:val="21"/>
                      <w:highlight w:val="none"/>
                    </w:rPr>
                    <w:t>符合</w:t>
                  </w:r>
                </w:p>
                <w:p>
                  <w:pPr>
                    <w:pStyle w:val="15"/>
                    <w:tabs>
                      <w:tab w:val="left" w:pos="642"/>
                    </w:tabs>
                    <w:snapToGrid w:val="0"/>
                    <w:jc w:val="center"/>
                    <w:rPr>
                      <w:rFonts w:ascii="Times New Roman" w:hAnsi="Times New Roman"/>
                      <w:bCs/>
                      <w:color w:val="auto"/>
                      <w:sz w:val="21"/>
                      <w:szCs w:val="21"/>
                      <w:highlight w:val="none"/>
                    </w:rPr>
                  </w:pPr>
                </w:p>
                <w:p>
                  <w:pPr>
                    <w:pStyle w:val="15"/>
                    <w:tabs>
                      <w:tab w:val="left" w:pos="642"/>
                    </w:tabs>
                    <w:snapToGrid w:val="0"/>
                    <w:jc w:val="center"/>
                    <w:rPr>
                      <w:rFonts w:ascii="Times New Roman" w:hAnsi="Times New Roman"/>
                      <w:bCs/>
                      <w:color w:val="auto"/>
                      <w:sz w:val="21"/>
                      <w:szCs w:val="21"/>
                      <w:highlight w:val="none"/>
                    </w:rPr>
                  </w:pPr>
                </w:p>
                <w:p>
                  <w:pPr>
                    <w:pStyle w:val="15"/>
                    <w:tabs>
                      <w:tab w:val="left" w:pos="642"/>
                    </w:tabs>
                    <w:snapToGrid w:val="0"/>
                    <w:jc w:val="center"/>
                    <w:rPr>
                      <w:rFonts w:ascii="Times New Roman" w:hAnsi="Times New Roman"/>
                      <w:bCs/>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392"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7</w:t>
                  </w:r>
                </w:p>
              </w:tc>
              <w:tc>
                <w:tcPr>
                  <w:tcW w:w="5528" w:type="dxa"/>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（七）加强区域环境污染防治和应急措施。开发区需严格落实各项环境风险防范措施，强化区内危险源管控，加强风险事故情况下的环境污染防范措施和应急处置，防止对区域周边环境敏感点造成影响。</w:t>
                  </w:r>
                </w:p>
              </w:tc>
              <w:tc>
                <w:tcPr>
                  <w:tcW w:w="2126" w:type="dxa"/>
                  <w:vAlign w:val="center"/>
                </w:tcPr>
                <w:p>
                  <w:pPr>
                    <w:pStyle w:val="15"/>
                    <w:tabs>
                      <w:tab w:val="left" w:pos="642"/>
                    </w:tabs>
                    <w:snapToGrid w:val="0"/>
                    <w:jc w:val="center"/>
                    <w:rPr>
                      <w:rFonts w:ascii="Times New Roman" w:hAnsi="Times New Roman"/>
                      <w:bCs/>
                      <w:color w:val="auto"/>
                      <w:sz w:val="21"/>
                      <w:szCs w:val="21"/>
                      <w:highlight w:val="none"/>
                    </w:rPr>
                  </w:pPr>
                  <w:r>
                    <w:rPr>
                      <w:rFonts w:hint="eastAsia" w:ascii="Times New Roman" w:hAnsi="Times New Roman"/>
                      <w:bCs/>
                      <w:color w:val="auto"/>
                      <w:sz w:val="21"/>
                      <w:szCs w:val="21"/>
                      <w:highlight w:val="none"/>
                    </w:rPr>
                    <w:t>本项目提出了环境风险应急预案编制要求，并要求与园区及地方政府突发环境事件应急预案相衔接。</w:t>
                  </w:r>
                </w:p>
              </w:tc>
              <w:tc>
                <w:tcPr>
                  <w:tcW w:w="476" w:type="dxa"/>
                  <w:vAlign w:val="center"/>
                </w:tcPr>
                <w:p>
                  <w:pPr>
                    <w:pStyle w:val="15"/>
                    <w:tabs>
                      <w:tab w:val="left" w:pos="642"/>
                    </w:tabs>
                    <w:snapToGrid w:val="0"/>
                    <w:jc w:val="center"/>
                    <w:rPr>
                      <w:rFonts w:ascii="Times New Roman" w:hAnsi="Times New Roman"/>
                      <w:bCs/>
                      <w:color w:val="auto"/>
                      <w:sz w:val="21"/>
                      <w:szCs w:val="21"/>
                      <w:highlight w:val="none"/>
                    </w:rPr>
                  </w:pPr>
                  <w:r>
                    <w:rPr>
                      <w:rFonts w:hint="eastAsia" w:ascii="Times New Roman" w:hAnsi="Times New Roman"/>
                      <w:bCs/>
                      <w:color w:val="auto"/>
                      <w:sz w:val="21"/>
                      <w:szCs w:val="21"/>
                      <w:highlight w:val="none"/>
                    </w:rPr>
                    <w:t>符合</w:t>
                  </w:r>
                </w:p>
              </w:tc>
            </w:tr>
          </w:tbl>
          <w:p>
            <w:pPr>
              <w:spacing w:line="480" w:lineRule="exact"/>
              <w:ind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河北省生态环境厅2019年</w:t>
            </w:r>
            <w:r>
              <w:rPr>
                <w:rFonts w:hint="eastAsia" w:ascii="Times New Roman" w:hAnsi="Times New Roman" w:cs="Times New Roman"/>
                <w:color w:val="auto"/>
                <w:sz w:val="24"/>
                <w:szCs w:val="24"/>
                <w:highlight w:val="none"/>
              </w:rPr>
              <w:t>9</w:t>
            </w:r>
            <w:r>
              <w:rPr>
                <w:rFonts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rPr>
              <w:t>24</w:t>
            </w:r>
            <w:r>
              <w:rPr>
                <w:rFonts w:ascii="Times New Roman" w:hAnsi="Times New Roman" w:cs="Times New Roman"/>
                <w:color w:val="auto"/>
                <w:sz w:val="24"/>
                <w:szCs w:val="24"/>
                <w:highlight w:val="none"/>
              </w:rPr>
              <w:t>日出具了《关于转送河北迁安经济开发区总体规划修编</w:t>
            </w:r>
            <w:r>
              <w:rPr>
                <w:rFonts w:hint="eastAsia" w:ascii="Times New Roman" w:hAnsi="Times New Roman" w:cs="Times New Roman"/>
                <w:color w:val="auto"/>
                <w:sz w:val="24"/>
                <w:szCs w:val="24"/>
                <w:highlight w:val="none"/>
              </w:rPr>
              <w:t>调整</w:t>
            </w:r>
            <w:r>
              <w:rPr>
                <w:rFonts w:ascii="Times New Roman" w:hAnsi="Times New Roman" w:cs="Times New Roman"/>
                <w:color w:val="auto"/>
                <w:sz w:val="24"/>
                <w:szCs w:val="24"/>
                <w:highlight w:val="none"/>
              </w:rPr>
              <w:t>（2018年-2030年）环境影响报告书审查意见的函 (冀环环评函[2019]</w:t>
            </w:r>
            <w:r>
              <w:rPr>
                <w:rFonts w:hint="eastAsia" w:ascii="Times New Roman" w:hAnsi="Times New Roman" w:cs="Times New Roman"/>
                <w:color w:val="auto"/>
                <w:sz w:val="24"/>
                <w:szCs w:val="24"/>
                <w:highlight w:val="none"/>
              </w:rPr>
              <w:t>1168</w:t>
            </w:r>
            <w:r>
              <w:rPr>
                <w:rFonts w:ascii="Times New Roman" w:hAnsi="Times New Roman" w:cs="Times New Roman"/>
                <w:color w:val="auto"/>
                <w:sz w:val="24"/>
                <w:szCs w:val="24"/>
                <w:highlight w:val="none"/>
              </w:rPr>
              <w:t>号)。</w:t>
            </w:r>
          </w:p>
          <w:p>
            <w:pPr>
              <w:spacing w:line="440" w:lineRule="exact"/>
              <w:jc w:val="center"/>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表</w:t>
            </w:r>
            <w:r>
              <w:rPr>
                <w:rFonts w:hint="eastAsia" w:ascii="Times New Roman" w:hAnsi="Times New Roman" w:eastAsia="黑体" w:cs="Times New Roman"/>
                <w:color w:val="auto"/>
                <w:sz w:val="24"/>
                <w:szCs w:val="24"/>
                <w:highlight w:val="none"/>
                <w:lang w:val="en-US" w:eastAsia="zh-CN"/>
              </w:rPr>
              <w:t>11</w:t>
            </w:r>
            <w:r>
              <w:rPr>
                <w:rFonts w:hint="eastAsia" w:ascii="Times New Roman" w:hAnsi="Times New Roman" w:eastAsia="黑体" w:cs="Times New Roman"/>
                <w:color w:val="auto"/>
                <w:sz w:val="24"/>
                <w:szCs w:val="24"/>
                <w:highlight w:val="none"/>
              </w:rPr>
              <w:t xml:space="preserve">  本项目与河北迁安经济开发区总体规划修编调整（2018年-2030年）环境影响报告书审查意见的函符合性分析</w:t>
            </w:r>
          </w:p>
          <w:tbl>
            <w:tblPr>
              <w:tblStyle w:val="31"/>
              <w:tblW w:w="5000"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536"/>
              <w:gridCol w:w="4911"/>
              <w:gridCol w:w="3197"/>
              <w:gridCol w:w="511"/>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blHeader/>
              </w:trPr>
              <w:tc>
                <w:tcPr>
                  <w:tcW w:w="499" w:type="dxa"/>
                  <w:tcBorders>
                    <w:top w:val="single" w:color="000000" w:sz="12" w:space="0"/>
                    <w:bottom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序号</w:t>
                  </w:r>
                </w:p>
              </w:tc>
              <w:tc>
                <w:tcPr>
                  <w:tcW w:w="4571" w:type="dxa"/>
                  <w:tcBorders>
                    <w:top w:val="single" w:color="000000" w:sz="12" w:space="0"/>
                    <w:bottom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审查意见的函</w:t>
                  </w:r>
                  <w:r>
                    <w:rPr>
                      <w:rFonts w:ascii="Times New Roman" w:hAnsi="Times New Roman"/>
                      <w:color w:val="auto"/>
                      <w:sz w:val="21"/>
                      <w:szCs w:val="21"/>
                      <w:highlight w:val="none"/>
                    </w:rPr>
                    <w:t>要求</w:t>
                  </w:r>
                </w:p>
              </w:tc>
              <w:tc>
                <w:tcPr>
                  <w:tcW w:w="2976" w:type="dxa"/>
                  <w:tcBorders>
                    <w:top w:val="single" w:color="000000" w:sz="12" w:space="0"/>
                    <w:bottom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本项目</w:t>
                  </w:r>
                  <w:r>
                    <w:rPr>
                      <w:rFonts w:ascii="Times New Roman" w:hAnsi="Times New Roman"/>
                      <w:color w:val="auto"/>
                      <w:sz w:val="21"/>
                      <w:szCs w:val="21"/>
                      <w:highlight w:val="none"/>
                    </w:rPr>
                    <w:t>实施情况</w:t>
                  </w:r>
                </w:p>
              </w:tc>
              <w:tc>
                <w:tcPr>
                  <w:tcW w:w="476" w:type="dxa"/>
                  <w:tcBorders>
                    <w:top w:val="single" w:color="000000" w:sz="12" w:space="0"/>
                    <w:bottom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结论</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74" w:hRule="atLeast"/>
              </w:trPr>
              <w:tc>
                <w:tcPr>
                  <w:tcW w:w="499"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ascii="Times New Roman" w:hAnsi="Times New Roman"/>
                      <w:color w:val="auto"/>
                      <w:sz w:val="21"/>
                      <w:szCs w:val="21"/>
                      <w:highlight w:val="none"/>
                    </w:rPr>
                    <w:t>1</w:t>
                  </w:r>
                </w:p>
              </w:tc>
              <w:tc>
                <w:tcPr>
                  <w:tcW w:w="4571"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（一）加强环境准入，推动产业转型升级和绿色发展。开发区新增地块内企业应严格落实环评报告中空间管制和生态环境准入清单的要求，调整后开发区钢铁、焦化、平板玻璃等行业不得突破规划产能上限。</w:t>
                  </w:r>
                </w:p>
              </w:tc>
              <w:tc>
                <w:tcPr>
                  <w:tcW w:w="297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bCs/>
                      <w:color w:val="auto"/>
                      <w:sz w:val="21"/>
                      <w:szCs w:val="21"/>
                      <w:highlight w:val="none"/>
                    </w:rPr>
                    <w:t>本项目位于现有厂区内，不新增地块；</w:t>
                  </w:r>
                  <w:r>
                    <w:rPr>
                      <w:rFonts w:hint="eastAsia" w:ascii="Times New Roman" w:hAnsi="Times New Roman"/>
                      <w:color w:val="auto"/>
                      <w:sz w:val="21"/>
                      <w:szCs w:val="21"/>
                      <w:highlight w:val="none"/>
                    </w:rPr>
                    <w:t>本项目为</w:t>
                  </w:r>
                  <w:r>
                    <w:rPr>
                      <w:rFonts w:hint="eastAsia" w:ascii="Times New Roman" w:hAnsi="Times New Roman"/>
                      <w:color w:val="auto"/>
                      <w:sz w:val="21"/>
                      <w:szCs w:val="21"/>
                      <w:highlight w:val="none"/>
                      <w:lang w:eastAsia="zh-CN"/>
                    </w:rPr>
                    <w:t>金属制品业</w:t>
                  </w:r>
                  <w:r>
                    <w:rPr>
                      <w:rFonts w:hint="eastAsia" w:ascii="Times New Roman" w:hAnsi="Times New Roman"/>
                      <w:color w:val="auto"/>
                      <w:sz w:val="21"/>
                      <w:szCs w:val="21"/>
                      <w:highlight w:val="none"/>
                    </w:rPr>
                    <w:t>，不涉及新增钢铁产能。</w:t>
                  </w:r>
                </w:p>
              </w:tc>
              <w:tc>
                <w:tcPr>
                  <w:tcW w:w="47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74" w:hRule="atLeast"/>
              </w:trPr>
              <w:tc>
                <w:tcPr>
                  <w:tcW w:w="499"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2</w:t>
                  </w:r>
                </w:p>
              </w:tc>
              <w:tc>
                <w:tcPr>
                  <w:tcW w:w="4571"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（二）加强空间管制，优化生产空间和生活空间。控制开发区边界外居民点向开发区方向发展，确保开发区新增地块内企业与敏感点保持足够的环境防护距离。</w:t>
                  </w:r>
                </w:p>
              </w:tc>
              <w:tc>
                <w:tcPr>
                  <w:tcW w:w="297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bCs/>
                      <w:color w:val="auto"/>
                      <w:sz w:val="21"/>
                      <w:szCs w:val="21"/>
                      <w:highlight w:val="none"/>
                    </w:rPr>
                    <w:t>本项目位于现有厂区内，周边不涉及搬迁任务，项目不设大气防护距离，距离</w:t>
                  </w:r>
                  <w:r>
                    <w:rPr>
                      <w:rFonts w:hint="eastAsia" w:ascii="Times New Roman" w:hAnsi="Times New Roman"/>
                      <w:bCs/>
                      <w:color w:val="auto"/>
                      <w:sz w:val="21"/>
                      <w:szCs w:val="21"/>
                      <w:highlight w:val="none"/>
                      <w:lang w:eastAsia="zh-CN"/>
                    </w:rPr>
                    <w:t>最近</w:t>
                  </w:r>
                  <w:r>
                    <w:rPr>
                      <w:rFonts w:hint="eastAsia" w:ascii="Times New Roman" w:hAnsi="Times New Roman"/>
                      <w:bCs/>
                      <w:color w:val="auto"/>
                      <w:sz w:val="21"/>
                      <w:szCs w:val="21"/>
                      <w:highlight w:val="none"/>
                    </w:rPr>
                    <w:t>敏感点</w:t>
                  </w:r>
                  <w:r>
                    <w:rPr>
                      <w:rFonts w:hint="eastAsia" w:ascii="Times New Roman" w:hAnsi="Times New Roman"/>
                      <w:bCs/>
                      <w:color w:val="auto"/>
                      <w:sz w:val="21"/>
                      <w:szCs w:val="21"/>
                      <w:highlight w:val="none"/>
                      <w:lang w:eastAsia="zh-CN"/>
                    </w:rPr>
                    <w:t>为厂区北侧</w:t>
                  </w:r>
                  <w:r>
                    <w:rPr>
                      <w:rFonts w:hint="eastAsia" w:ascii="Times New Roman" w:hAnsi="Times New Roman"/>
                      <w:bCs/>
                      <w:color w:val="auto"/>
                      <w:sz w:val="21"/>
                      <w:szCs w:val="21"/>
                      <w:highlight w:val="none"/>
                      <w:lang w:val="en-US" w:eastAsia="zh-CN"/>
                    </w:rPr>
                    <w:t>900m的</w:t>
                  </w:r>
                  <w:r>
                    <w:rPr>
                      <w:rFonts w:hint="eastAsia"/>
                      <w:color w:val="auto"/>
                      <w:sz w:val="21"/>
                      <w:szCs w:val="21"/>
                      <w:highlight w:val="none"/>
                      <w:lang w:val="en-US" w:eastAsia="zh-CN"/>
                    </w:rPr>
                    <w:t>任官营村</w:t>
                  </w:r>
                  <w:r>
                    <w:rPr>
                      <w:rFonts w:hint="eastAsia" w:ascii="Times New Roman" w:hAnsi="Times New Roman"/>
                      <w:bCs/>
                      <w:color w:val="auto"/>
                      <w:sz w:val="21"/>
                      <w:szCs w:val="21"/>
                      <w:highlight w:val="none"/>
                    </w:rPr>
                    <w:t>。</w:t>
                  </w:r>
                </w:p>
              </w:tc>
              <w:tc>
                <w:tcPr>
                  <w:tcW w:w="47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74" w:hRule="atLeast"/>
              </w:trPr>
              <w:tc>
                <w:tcPr>
                  <w:tcW w:w="499"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3</w:t>
                  </w:r>
                </w:p>
              </w:tc>
              <w:tc>
                <w:tcPr>
                  <w:tcW w:w="4571"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三）加强总量管控，推进环境质量改善。严格落实区域污染削减方案，不断提升技术工艺及节能节水控污水平。进一步推动“公转铁”，大宗物料和产品采用铁路、管道或管状带式输送机等清洁方式运输比例不低于80%，汽车运输部分应采用新能源汽车或达到国六排放标准的汽车，禁止使用柴油车及国五标准以下汽车。</w:t>
                  </w:r>
                </w:p>
              </w:tc>
              <w:tc>
                <w:tcPr>
                  <w:tcW w:w="297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本项目重点污染物排放实行倍量削减，汽车运输部分</w:t>
                  </w:r>
                  <w:r>
                    <w:rPr>
                      <w:rFonts w:hint="eastAsia" w:ascii="Times New Roman" w:hAnsi="Times New Roman"/>
                      <w:color w:val="auto"/>
                      <w:sz w:val="21"/>
                      <w:szCs w:val="21"/>
                      <w:highlight w:val="none"/>
                      <w:lang w:eastAsia="zh-CN"/>
                    </w:rPr>
                    <w:t>要求</w:t>
                  </w:r>
                  <w:r>
                    <w:rPr>
                      <w:rFonts w:hint="eastAsia" w:ascii="Times New Roman" w:hAnsi="Times New Roman"/>
                      <w:color w:val="auto"/>
                      <w:sz w:val="21"/>
                      <w:szCs w:val="21"/>
                      <w:highlight w:val="none"/>
                    </w:rPr>
                    <w:t>均采用新能源汽车或达到国六排放标准的汽车</w:t>
                  </w:r>
                </w:p>
              </w:tc>
              <w:tc>
                <w:tcPr>
                  <w:tcW w:w="47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74" w:hRule="atLeast"/>
              </w:trPr>
              <w:tc>
                <w:tcPr>
                  <w:tcW w:w="499"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4</w:t>
                  </w:r>
                </w:p>
              </w:tc>
              <w:tc>
                <w:tcPr>
                  <w:tcW w:w="4571"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四）加强区域环境污染防治和应急措施。严格落实环境影响报告书及开发区突发环境事件应急预案中提出的各项环境风险防范措施，加强开发区新增地块内企业在风险事故情况下的环境污染防范、应急响应和协同处置。</w:t>
                  </w:r>
                </w:p>
              </w:tc>
              <w:tc>
                <w:tcPr>
                  <w:tcW w:w="297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企业在实际生产过程中应加强区域环境污染防治和应急措施；严格落实环境影响报告</w:t>
                  </w:r>
                  <w:r>
                    <w:rPr>
                      <w:rFonts w:hint="eastAsia" w:ascii="Times New Roman" w:hAnsi="Times New Roman"/>
                      <w:color w:val="auto"/>
                      <w:sz w:val="21"/>
                      <w:szCs w:val="21"/>
                      <w:highlight w:val="none"/>
                      <w:lang w:eastAsia="zh-CN"/>
                    </w:rPr>
                    <w:t>表</w:t>
                  </w:r>
                  <w:r>
                    <w:rPr>
                      <w:rFonts w:hint="eastAsia" w:ascii="Times New Roman" w:hAnsi="Times New Roman"/>
                      <w:color w:val="auto"/>
                      <w:sz w:val="21"/>
                      <w:szCs w:val="21"/>
                      <w:highlight w:val="none"/>
                    </w:rPr>
                    <w:t>及开发区突发环境事件应急预案中提出的各项环境风险防范措施，加强企业在风险事故情况下的环境污染防范、应急响应和协同处置。</w:t>
                  </w:r>
                </w:p>
              </w:tc>
              <w:tc>
                <w:tcPr>
                  <w:tcW w:w="476" w:type="dxa"/>
                  <w:tcBorders>
                    <w:top w:val="single" w:color="000000" w:sz="6" w:space="0"/>
                  </w:tcBorders>
                  <w:vAlign w:val="center"/>
                </w:tcPr>
                <w:p>
                  <w:pPr>
                    <w:pStyle w:val="15"/>
                    <w:tabs>
                      <w:tab w:val="left" w:pos="642"/>
                    </w:tabs>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bl>
          <w:p>
            <w:pPr>
              <w:pStyle w:val="44"/>
              <w:spacing w:line="360" w:lineRule="auto"/>
              <w:ind w:firstLine="482"/>
              <w:rPr>
                <w:b/>
                <w:color w:val="auto"/>
                <w:sz w:val="24"/>
                <w:highlight w:val="none"/>
              </w:rPr>
            </w:pPr>
            <w:r>
              <w:rPr>
                <w:rFonts w:hint="eastAsia"/>
                <w:b/>
                <w:color w:val="auto"/>
                <w:sz w:val="24"/>
                <w:highlight w:val="none"/>
                <w:lang w:val="en-US" w:eastAsia="zh-CN"/>
              </w:rPr>
              <w:t>6</w:t>
            </w:r>
            <w:r>
              <w:rPr>
                <w:b/>
                <w:color w:val="auto"/>
                <w:sz w:val="24"/>
                <w:highlight w:val="none"/>
              </w:rPr>
              <w:t>、“三线一单”符合性分析</w:t>
            </w:r>
          </w:p>
          <w:p>
            <w:pPr>
              <w:spacing w:line="480" w:lineRule="exact"/>
              <w:ind w:firstLine="480" w:firstLineChars="20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根据环保部发布的《关于以改善环境质量为核心加强环境影响评价管理的通知》（以下简称《通知》），《通知》要求切实加强环境影响评价管理，落实“生态保护红线、环境质量底线、资源利用上线和环境准入负面清单”约束，建立项目环评审批与规划环评、现有项目环境管理、区域环境质量联动机制，更好地发挥环评制度从源头防范环境污染和生态破坏的作用，加快推进改善环境质量。</w:t>
            </w:r>
            <w:r>
              <w:rPr>
                <w:rFonts w:hint="eastAsia" w:ascii="Times New Roman" w:hAnsi="Times New Roman" w:cs="Times New Roman"/>
                <w:color w:val="auto"/>
                <w:sz w:val="24"/>
                <w:szCs w:val="24"/>
                <w:highlight w:val="none"/>
                <w:lang w:eastAsia="zh-CN"/>
              </w:rPr>
              <w:br w:type="textWrapping"/>
            </w:r>
            <w:r>
              <w:rPr>
                <w:rFonts w:hint="eastAsia" w:ascii="Times New Roman" w:hAnsi="Times New Roman" w:cs="Times New Roman"/>
                <w:color w:val="auto"/>
                <w:sz w:val="24"/>
                <w:szCs w:val="24"/>
                <w:highlight w:val="none"/>
                <w:lang w:eastAsia="zh-CN"/>
              </w:rPr>
              <w:t xml:space="preserve">    ①</w:t>
            </w:r>
            <w:r>
              <w:rPr>
                <w:rFonts w:ascii="Times New Roman" w:hAnsi="Times New Roman" w:cs="Times New Roman"/>
                <w:color w:val="auto"/>
                <w:sz w:val="24"/>
                <w:szCs w:val="24"/>
                <w:highlight w:val="none"/>
              </w:rPr>
              <w:t>本项目评价区范围内无自然保护区、风景旅游区、文物保护区及珍稀动物保护区等敏感因素；项目能源和资源利用率高、污染物产生量较小，不违背资源利用上线要求；</w:t>
            </w:r>
            <w:r>
              <w:rPr>
                <w:rFonts w:hint="eastAsia" w:ascii="Times New Roman" w:hAnsi="Times New Roman" w:cs="Times New Roman"/>
                <w:color w:val="auto"/>
                <w:sz w:val="24"/>
                <w:szCs w:val="24"/>
                <w:highlight w:val="none"/>
              </w:rPr>
              <w:t>本项目为</w:t>
            </w:r>
            <w:r>
              <w:rPr>
                <w:rFonts w:hint="eastAsia" w:cs="Times New Roman"/>
                <w:color w:val="auto"/>
                <w:sz w:val="24"/>
                <w:szCs w:val="24"/>
                <w:highlight w:val="none"/>
                <w:lang w:eastAsia="zh-CN"/>
              </w:rPr>
              <w:t>金属制品</w:t>
            </w:r>
            <w:r>
              <w:rPr>
                <w:rFonts w:hint="eastAsia" w:ascii="Times New Roman" w:hAnsi="Times New Roman" w:cs="Times New Roman"/>
                <w:color w:val="auto"/>
                <w:sz w:val="24"/>
                <w:szCs w:val="24"/>
                <w:highlight w:val="none"/>
              </w:rPr>
              <w:t>业，</w:t>
            </w:r>
            <w:r>
              <w:rPr>
                <w:rFonts w:hint="eastAsia" w:ascii="Times New Roman" w:hAnsi="Times New Roman" w:cs="Times New Roman"/>
                <w:color w:val="auto"/>
                <w:sz w:val="24"/>
                <w:szCs w:val="24"/>
                <w:highlight w:val="none"/>
                <w:lang w:eastAsia="zh-CN"/>
              </w:rPr>
              <w:t>产品为风机</w:t>
            </w:r>
            <w:r>
              <w:rPr>
                <w:rFonts w:hint="eastAsia" w:ascii="Times New Roman" w:hAnsi="Times New Roman" w:cs="Times New Roman"/>
                <w:color w:val="auto"/>
                <w:sz w:val="24"/>
                <w:szCs w:val="24"/>
                <w:highlight w:val="none"/>
              </w:rPr>
              <w:t>叶片、风机备件，风机</w:t>
            </w:r>
            <w:r>
              <w:rPr>
                <w:rFonts w:hint="eastAsia" w:ascii="Times New Roman" w:hAnsi="Times New Roman" w:cs="Times New Roman"/>
                <w:color w:val="auto"/>
                <w:sz w:val="24"/>
                <w:szCs w:val="24"/>
                <w:highlight w:val="none"/>
                <w:lang w:eastAsia="zh-CN"/>
              </w:rPr>
              <w:t>维修</w:t>
            </w:r>
            <w:r>
              <w:rPr>
                <w:rFonts w:ascii="Times New Roman" w:hAnsi="Times New Roman" w:cs="Times New Roman"/>
                <w:color w:val="auto"/>
                <w:sz w:val="24"/>
                <w:szCs w:val="24"/>
                <w:highlight w:val="none"/>
              </w:rPr>
              <w:t>，根据</w:t>
            </w:r>
            <w:r>
              <w:rPr>
                <w:rFonts w:hint="eastAsia" w:ascii="Times New Roman" w:hAnsi="Times New Roman"/>
                <w:color w:val="auto"/>
                <w:sz w:val="24"/>
                <w:szCs w:val="24"/>
                <w:highlight w:val="none"/>
              </w:rPr>
              <w:t>《产业结构调整指导目录(2019年本)》的</w:t>
            </w:r>
            <w:r>
              <w:rPr>
                <w:rFonts w:ascii="Times New Roman" w:hAnsi="Times New Roman" w:cs="Times New Roman"/>
                <w:color w:val="auto"/>
                <w:sz w:val="24"/>
                <w:szCs w:val="24"/>
                <w:highlight w:val="none"/>
              </w:rPr>
              <w:t>规定，本项目未列入鼓励类、限制类和淘汰类，属于国家和地方允许建设项目类型，符合国家和地方有关产业政策的要求。</w:t>
            </w:r>
          </w:p>
          <w:p>
            <w:pPr>
              <w:spacing w:line="480" w:lineRule="exact"/>
              <w:ind w:firstLine="480" w:firstLineChars="200"/>
              <w:rPr>
                <w:rFonts w:ascii="Times New Roman" w:hAnsi="Times New Roman" w:cs="Times New Roman"/>
                <w:color w:val="auto"/>
                <w:sz w:val="24"/>
                <w:szCs w:val="24"/>
                <w:highlight w:val="none"/>
              </w:rPr>
            </w:pPr>
            <w:r>
              <w:rPr>
                <w:rFonts w:hint="eastAsia" w:cs="Times New Roman"/>
                <w:color w:val="auto"/>
                <w:sz w:val="24"/>
                <w:szCs w:val="24"/>
                <w:highlight w:val="none"/>
                <w:lang w:val="en-US" w:eastAsia="zh-CN"/>
              </w:rPr>
              <w:t>6</w:t>
            </w:r>
            <w:r>
              <w:rPr>
                <w:rFonts w:ascii="Times New Roman" w:hAnsi="Times New Roman" w:cs="Times New Roman"/>
                <w:color w:val="auto"/>
                <w:sz w:val="24"/>
                <w:szCs w:val="24"/>
                <w:highlight w:val="none"/>
              </w:rPr>
              <w:t>.1生态保护红线</w:t>
            </w:r>
          </w:p>
          <w:p>
            <w:pPr>
              <w:pStyle w:val="15"/>
              <w:spacing w:line="480" w:lineRule="exact"/>
              <w:ind w:firstLine="480" w:firstLineChars="200"/>
              <w:jc w:val="left"/>
              <w:rPr>
                <w:rFonts w:ascii="Times New Roman" w:hAnsi="Times New Roman"/>
                <w:color w:val="auto"/>
                <w:sz w:val="24"/>
                <w:szCs w:val="24"/>
                <w:highlight w:val="none"/>
              </w:rPr>
            </w:pPr>
            <w:r>
              <w:rPr>
                <w:rFonts w:hint="eastAsia" w:ascii="Times New Roman" w:hAnsi="Times New Roman"/>
                <w:color w:val="auto"/>
                <w:sz w:val="24"/>
                <w:szCs w:val="24"/>
                <w:highlight w:val="none"/>
              </w:rPr>
              <w:t>根据《河北省生态保护红线》、《唐山市迁安市生态保护红线》，迁安市的生态保护红线主要为：北部长城沿线保护地带；西部迁安国家地质公园；山叶口省级森林公园；滦河河床，西沙河自大庄户至出县边界间的河床；此外，在三岔峪、佛峪院、田庄营和杨纪庄各村间山野地带及太平庄乡京哈高速南侧的山野地带也划定为生态保护红线范围；西沙河生态保护红线。</w:t>
            </w:r>
            <w:r>
              <w:rPr>
                <w:rFonts w:ascii="Times New Roman" w:hAnsi="Times New Roman"/>
                <w:color w:val="auto"/>
                <w:sz w:val="24"/>
                <w:szCs w:val="24"/>
                <w:highlight w:val="none"/>
              </w:rPr>
              <w:t>本项目选址位于河北迁安经济开发区，由图</w:t>
            </w:r>
            <w:r>
              <w:rPr>
                <w:rFonts w:hint="eastAsia" w:ascii="Times New Roman" w:hAnsi="Times New Roman"/>
                <w:color w:val="auto"/>
                <w:sz w:val="24"/>
                <w:szCs w:val="24"/>
                <w:highlight w:val="none"/>
                <w:lang w:val="en-US" w:eastAsia="zh-CN"/>
              </w:rPr>
              <w:t>6</w:t>
            </w:r>
            <w:r>
              <w:rPr>
                <w:rFonts w:ascii="Times New Roman" w:hAnsi="Times New Roman"/>
                <w:color w:val="auto"/>
                <w:sz w:val="24"/>
                <w:szCs w:val="24"/>
                <w:highlight w:val="none"/>
              </w:rPr>
              <w:t>可知，</w:t>
            </w:r>
            <w:r>
              <w:rPr>
                <w:rFonts w:hint="eastAsia" w:ascii="Times New Roman" w:hAnsi="Times New Roman"/>
                <w:color w:val="auto"/>
                <w:sz w:val="24"/>
                <w:szCs w:val="24"/>
                <w:highlight w:val="none"/>
                <w:lang w:eastAsia="zh-CN"/>
              </w:rPr>
              <w:t>项目厂址距离滦河河床</w:t>
            </w:r>
            <w:r>
              <w:rPr>
                <w:rFonts w:hint="eastAsia" w:ascii="Times New Roman" w:hAnsi="Times New Roman"/>
                <w:color w:val="auto"/>
                <w:sz w:val="24"/>
                <w:szCs w:val="24"/>
                <w:highlight w:val="none"/>
                <w:lang w:val="en-US" w:eastAsia="zh-CN"/>
              </w:rPr>
              <w:t>3050m，距离西沙河2150m，</w:t>
            </w:r>
            <w:r>
              <w:rPr>
                <w:rFonts w:ascii="Times New Roman" w:hAnsi="Times New Roman"/>
                <w:color w:val="auto"/>
                <w:sz w:val="24"/>
                <w:szCs w:val="24"/>
                <w:highlight w:val="none"/>
              </w:rPr>
              <w:t>不在上述管控区范围内，因此项目建设符合生态红线要求。</w:t>
            </w:r>
          </w:p>
          <w:p>
            <w:pPr>
              <w:pStyle w:val="15"/>
              <w:spacing w:line="48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drawing>
                <wp:anchor distT="0" distB="0" distL="114300" distR="114300" simplePos="0" relativeHeight="251621376" behindDoc="0" locked="0" layoutInCell="1" allowOverlap="1">
                  <wp:simplePos x="0" y="0"/>
                  <wp:positionH relativeFrom="column">
                    <wp:posOffset>509905</wp:posOffset>
                  </wp:positionH>
                  <wp:positionV relativeFrom="paragraph">
                    <wp:posOffset>156210</wp:posOffset>
                  </wp:positionV>
                  <wp:extent cx="3934460" cy="4918710"/>
                  <wp:effectExtent l="19050" t="0" r="8890" b="0"/>
                  <wp:wrapNone/>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10" cstate="print"/>
                          <a:srcRect/>
                          <a:stretch>
                            <a:fillRect/>
                          </a:stretch>
                        </pic:blipFill>
                        <pic:spPr>
                          <a:xfrm>
                            <a:off x="0" y="0"/>
                            <a:ext cx="3934460" cy="4918710"/>
                          </a:xfrm>
                          <a:prstGeom prst="rect">
                            <a:avLst/>
                          </a:prstGeom>
                          <a:noFill/>
                          <a:ln w="9525">
                            <a:noFill/>
                            <a:miter lim="800000"/>
                            <a:headEnd/>
                            <a:tailEnd/>
                          </a:ln>
                        </pic:spPr>
                      </pic:pic>
                    </a:graphicData>
                  </a:graphic>
                </wp:anchor>
              </w:drawing>
            </w:r>
            <w:r>
              <w:rPr>
                <w:rFonts w:ascii="Times New Roman" w:hAnsi="Times New Roman"/>
                <w:color w:val="auto"/>
                <w:sz w:val="24"/>
                <w:szCs w:val="24"/>
                <w:highlight w:val="none"/>
              </w:rPr>
              <w:drawing>
                <wp:anchor distT="0" distB="0" distL="114300" distR="114300" simplePos="0" relativeHeight="251751424" behindDoc="0" locked="0" layoutInCell="1" allowOverlap="1">
                  <wp:simplePos x="0" y="0"/>
                  <wp:positionH relativeFrom="column">
                    <wp:posOffset>530225</wp:posOffset>
                  </wp:positionH>
                  <wp:positionV relativeFrom="paragraph">
                    <wp:posOffset>164465</wp:posOffset>
                  </wp:positionV>
                  <wp:extent cx="903605" cy="897255"/>
                  <wp:effectExtent l="19050" t="0" r="0" b="0"/>
                  <wp:wrapNone/>
                  <wp:docPr id="5"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6"/>
                          <pic:cNvPicPr>
                            <a:picLocks noChangeAspect="1" noChangeArrowheads="1"/>
                          </pic:cNvPicPr>
                        </pic:nvPicPr>
                        <pic:blipFill>
                          <a:blip r:embed="rId11" cstate="print"/>
                          <a:srcRect/>
                          <a:stretch>
                            <a:fillRect/>
                          </a:stretch>
                        </pic:blipFill>
                        <pic:spPr>
                          <a:xfrm>
                            <a:off x="0" y="0"/>
                            <a:ext cx="903816" cy="897466"/>
                          </a:xfrm>
                          <a:prstGeom prst="rect">
                            <a:avLst/>
                          </a:prstGeom>
                          <a:noFill/>
                          <a:ln w="9525">
                            <a:noFill/>
                            <a:miter lim="800000"/>
                            <a:headEnd/>
                            <a:tailEnd/>
                          </a:ln>
                        </pic:spPr>
                      </pic:pic>
                    </a:graphicData>
                  </a:graphic>
                </wp:anchor>
              </w:drawing>
            </w: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pict>
                <v:group id="_x0000_s2053" o:spid="_x0000_s2053" o:spt="203" style="position:absolute;left:0pt;margin-left:169.4pt;margin-top:17.15pt;height:51pt;width:85pt;z-index:252358656;mso-width-relative:page;mso-height-relative:page;" coordorigin="4114,3749" coordsize="1700,1020">
                  <o:lock v:ext="edit"/>
                  <v:shape id="_x0000_s2054" o:spid="_x0000_s2054" o:spt="61" type="#_x0000_t61" style="position:absolute;left:4184;top:3749;height:598;width:1630;" filled="f" stroked="t" coordsize="21600,21600" adj="1206,31353">
                    <v:path/>
                    <v:fill on="f" focussize="0,0"/>
                    <v:stroke weight="1.5pt" color="#000000" joinstyle="miter"/>
                    <v:imagedata o:title=""/>
                    <o:lock v:ext="edit"/>
                    <v:textbox>
                      <w:txbxContent>
                        <w:p>
                          <w:pPr>
                            <w:rPr>
                              <w:b/>
                              <w:color w:val="FF0000"/>
                            </w:rPr>
                          </w:pPr>
                          <w:r>
                            <w:rPr>
                              <w:rFonts w:hint="eastAsia"/>
                              <w:b/>
                              <w:color w:val="FF0000"/>
                            </w:rPr>
                            <w:t>本项目位置</w:t>
                          </w:r>
                        </w:p>
                      </w:txbxContent>
                    </v:textbox>
                  </v:shape>
                  <v:rect id="_x0000_s2055" o:spid="_x0000_s2055" o:spt="1" style="position:absolute;left:4114;top:4591;height:178;width:300;" filled="f" stroked="t" coordsize="21600,21600">
                    <v:path/>
                    <v:fill on="f" focussize="0,0"/>
                    <v:stroke weight="1.5pt" color="#000000"/>
                    <v:imagedata o:title=""/>
                    <o:lock v:ext="edit"/>
                  </v:rect>
                </v:group>
              </w:pict>
            </w:r>
          </w:p>
          <w:p>
            <w:pPr>
              <w:pStyle w:val="15"/>
              <w:spacing w:line="480" w:lineRule="exact"/>
              <w:ind w:firstLine="480" w:firstLineChars="200"/>
              <w:jc w:val="left"/>
              <w:rPr>
                <w:rFonts w:ascii="Times New Roman" w:hAnsi="Times New Roman"/>
                <w:color w:val="auto"/>
                <w:sz w:val="24"/>
                <w:szCs w:val="24"/>
                <w:highlight w:val="none"/>
              </w:rPr>
            </w:pPr>
            <w:r>
              <w:rPr>
                <w:color w:val="auto"/>
                <w:sz w:val="24"/>
                <w:highlight w:val="none"/>
              </w:rPr>
              <w:pict>
                <v:shape id="_x0000_s2063" o:spid="_x0000_s2063" o:spt="202" type="#_x0000_t202" style="position:absolute;left:0pt;margin-left:207.95pt;margin-top:22.25pt;height:24.1pt;width:44.45pt;z-index:252655616;mso-width-relative:page;mso-height-relative:page;" filled="f" stroked="f" coordsize="21600,21600">
                  <v:path/>
                  <v:fill on="f" focussize="0,0"/>
                  <v:stroke on="f" joinstyle="miter"/>
                  <v:imagedata o:title=""/>
                  <o:lock v:ext="edit" aspectratio="f"/>
                  <v:textbox>
                    <w:txbxContent>
                      <w:p>
                        <w:pPr>
                          <w:rPr>
                            <w:rFonts w:hint="default" w:eastAsia="宋体"/>
                            <w:b/>
                            <w:bCs/>
                            <w:color w:val="FF0000"/>
                            <w:lang w:val="en-US" w:eastAsia="zh-CN"/>
                          </w:rPr>
                        </w:pPr>
                        <w:r>
                          <w:rPr>
                            <w:rFonts w:hint="eastAsia"/>
                            <w:b/>
                            <w:bCs/>
                            <w:color w:val="FF0000"/>
                            <w:lang w:val="en-US" w:eastAsia="zh-CN"/>
                          </w:rPr>
                          <w:t>3050m</w:t>
                        </w:r>
                      </w:p>
                    </w:txbxContent>
                  </v:textbox>
                </v:shape>
              </w:pict>
            </w:r>
            <w:r>
              <w:rPr>
                <w:rFonts w:ascii="Times New Roman" w:hAnsi="Times New Roman"/>
                <w:color w:val="auto"/>
                <w:sz w:val="24"/>
                <w:szCs w:val="24"/>
                <w:highlight w:val="none"/>
              </w:rPr>
              <w:pict>
                <v:shape id="_x0000_s2061" o:spid="_x0000_s2061" o:spt="32" type="#_x0000_t32" style="position:absolute;left:0pt;flip:y;margin-left:184.4pt;margin-top:4.4pt;height:35.3pt;width:90.25pt;z-index:252560384;mso-width-relative:page;mso-height-relative:page;" filled="f" stroked="t" coordsize="21600,21600">
                  <v:path arrowok="t"/>
                  <v:fill on="f" focussize="0,0"/>
                  <v:stroke color="#FF0000" endarrow="block" endarrowwidth="wide" endarrowlength="long"/>
                  <v:imagedata o:title=""/>
                  <o:lock v:ext="edit" aspectratio="f"/>
                </v:shape>
              </w:pict>
            </w:r>
          </w:p>
          <w:p>
            <w:pPr>
              <w:pStyle w:val="15"/>
              <w:spacing w:line="480" w:lineRule="exact"/>
              <w:ind w:firstLine="480" w:firstLineChars="200"/>
              <w:jc w:val="left"/>
              <w:rPr>
                <w:rFonts w:ascii="Times New Roman" w:hAnsi="Times New Roman"/>
                <w:color w:val="auto"/>
                <w:sz w:val="24"/>
                <w:szCs w:val="24"/>
                <w:highlight w:val="none"/>
              </w:rPr>
            </w:pPr>
            <w:r>
              <w:rPr>
                <w:color w:val="auto"/>
                <w:sz w:val="24"/>
                <w:highlight w:val="none"/>
              </w:rPr>
              <w:pict>
                <v:shape id="_x0000_s2062" o:spid="_x0000_s2062" o:spt="202" type="#_x0000_t202" style="position:absolute;left:0pt;margin-left:151.6pt;margin-top:21.8pt;height:24.1pt;width:44.45pt;z-index:251752448;mso-width-relative:page;mso-height-relative:page;" filled="f" stroked="f" coordsize="21600,21600">
                  <v:path/>
                  <v:fill on="f" focussize="0,0"/>
                  <v:stroke on="f"/>
                  <v:imagedata o:title=""/>
                  <o:lock v:ext="edit" aspectratio="f"/>
                  <v:textbox>
                    <w:txbxContent>
                      <w:p>
                        <w:pPr>
                          <w:rPr>
                            <w:rFonts w:hint="default" w:eastAsia="宋体"/>
                            <w:b/>
                            <w:bCs/>
                            <w:color w:val="FF0000"/>
                            <w:lang w:val="en-US" w:eastAsia="zh-CN"/>
                          </w:rPr>
                        </w:pPr>
                        <w:r>
                          <w:rPr>
                            <w:rFonts w:hint="eastAsia"/>
                            <w:b/>
                            <w:bCs/>
                            <w:color w:val="FF0000"/>
                            <w:lang w:val="en-US" w:eastAsia="zh-CN"/>
                          </w:rPr>
                          <w:t>2150m</w:t>
                        </w:r>
                      </w:p>
                    </w:txbxContent>
                  </v:textbox>
                </v:shape>
              </w:pict>
            </w:r>
            <w:r>
              <w:rPr>
                <w:rFonts w:ascii="Times New Roman" w:hAnsi="Times New Roman"/>
                <w:color w:val="auto"/>
                <w:sz w:val="24"/>
                <w:szCs w:val="24"/>
                <w:highlight w:val="none"/>
              </w:rPr>
              <w:pict>
                <v:shape id="_x0000_s2056" o:spid="_x0000_s2056" o:spt="32" type="#_x0000_t32" style="position:absolute;left:0pt;flip:x;margin-left:153.15pt;margin-top:20.15pt;height:1.75pt;width:17.1pt;z-index:251858944;mso-width-relative:page;mso-height-relative:page;" filled="f" stroked="t" coordsize="21600,21600">
                  <v:path arrowok="t"/>
                  <v:fill on="f" focussize="0,0"/>
                  <v:stroke color="#FF0000" endarrow="block" endarrowwidth="wide" endarrowlength="long"/>
                  <v:imagedata o:title=""/>
                  <o:lock v:ext="edit" aspectratio="f"/>
                </v:shape>
              </w:pict>
            </w: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pStyle w:val="15"/>
              <w:spacing w:line="480" w:lineRule="exact"/>
              <w:ind w:firstLine="480" w:firstLineChars="200"/>
              <w:jc w:val="left"/>
              <w:rPr>
                <w:rFonts w:ascii="Times New Roman" w:hAnsi="Times New Roman"/>
                <w:color w:val="auto"/>
                <w:sz w:val="24"/>
                <w:szCs w:val="24"/>
                <w:highlight w:val="none"/>
              </w:rPr>
            </w:pPr>
          </w:p>
          <w:p>
            <w:pPr>
              <w:autoSpaceDE w:val="0"/>
              <w:autoSpaceDN w:val="0"/>
              <w:adjustRightInd w:val="0"/>
              <w:snapToGrid w:val="0"/>
              <w:spacing w:line="480" w:lineRule="exact"/>
              <w:ind w:firstLine="480" w:firstLineChars="200"/>
              <w:jc w:val="center"/>
              <w:rPr>
                <w:rFonts w:ascii="Times New Roman" w:hAnsi="Times New Roman" w:eastAsia="黑体" w:cs="Times New Roman"/>
                <w:color w:val="auto"/>
                <w:sz w:val="24"/>
                <w:szCs w:val="24"/>
                <w:highlight w:val="none"/>
                <w:vertAlign w:val="superscript"/>
              </w:rPr>
            </w:pPr>
            <w:r>
              <w:rPr>
                <w:rFonts w:ascii="Times New Roman" w:hAnsi="Times New Roman"/>
                <w:color w:val="auto"/>
                <w:sz w:val="24"/>
                <w:szCs w:val="24"/>
                <w:highlight w:val="none"/>
              </w:rPr>
              <w:pict>
                <v:rect id="_x0000_s2059" o:spid="_x0000_s2059" o:spt="1" style="position:absolute;left:0pt;margin-left:187.5pt;margin-top:414.65pt;height:5.95pt;width:5.95pt;z-index:251748352;mso-width-relative:page;mso-height-relative:page;" filled="t" stroked="t" coordsize="21600,21600">
                  <v:path/>
                  <v:fill type="gradient" on="t" angle="90" focussize="0f,0f">
                    <o:fill type="gradientUnscaled" v:ext="backwardCompatible"/>
                  </v:fill>
                  <v:stroke weight="1.25pt" color="#739CC3"/>
                  <v:imagedata o:title=""/>
                  <o:lock v:ext="edit"/>
                  <v:textbox>
                    <w:txbxContent>
                      <w:p/>
                    </w:txbxContent>
                  </v:textbox>
                </v:rect>
              </w:pict>
            </w:r>
            <w:r>
              <w:rPr>
                <w:rFonts w:ascii="Times New Roman" w:hAnsi="Times New Roman" w:eastAsia="黑体" w:cs="Times New Roman"/>
                <w:color w:val="auto"/>
                <w:sz w:val="24"/>
                <w:szCs w:val="24"/>
                <w:highlight w:val="none"/>
              </w:rPr>
              <w:t>图</w:t>
            </w:r>
            <w:r>
              <w:rPr>
                <w:rFonts w:hint="eastAsia" w:eastAsia="黑体" w:cs="Times New Roman"/>
                <w:color w:val="auto"/>
                <w:sz w:val="24"/>
                <w:szCs w:val="24"/>
                <w:highlight w:val="none"/>
                <w:lang w:val="en-US" w:eastAsia="zh-CN"/>
              </w:rPr>
              <w:t>6</w:t>
            </w:r>
            <w:r>
              <w:rPr>
                <w:rFonts w:ascii="Times New Roman" w:hAnsi="Times New Roman" w:eastAsia="黑体" w:cs="Times New Roman"/>
                <w:color w:val="auto"/>
                <w:sz w:val="24"/>
                <w:szCs w:val="24"/>
                <w:highlight w:val="none"/>
              </w:rPr>
              <w:t xml:space="preserve">  </w:t>
            </w:r>
            <w:r>
              <w:rPr>
                <w:rFonts w:hint="eastAsia" w:ascii="Times New Roman" w:hAnsi="Times New Roman" w:eastAsia="黑体" w:cs="Times New Roman"/>
                <w:color w:val="auto"/>
                <w:sz w:val="24"/>
                <w:szCs w:val="24"/>
                <w:highlight w:val="none"/>
              </w:rPr>
              <w:t>项目周边</w:t>
            </w:r>
            <w:r>
              <w:rPr>
                <w:rFonts w:ascii="Times New Roman" w:hAnsi="Times New Roman" w:eastAsia="黑体" w:cs="Times New Roman"/>
                <w:color w:val="auto"/>
                <w:sz w:val="24"/>
                <w:szCs w:val="24"/>
                <w:highlight w:val="none"/>
              </w:rPr>
              <w:t>生态保护红线范围划定图</w:t>
            </w:r>
          </w:p>
          <w:p>
            <w:pPr>
              <w:spacing w:line="480" w:lineRule="exact"/>
              <w:ind w:firstLine="480" w:firstLineChars="200"/>
              <w:rPr>
                <w:rFonts w:hint="eastAsia" w:ascii="Times New Roman" w:hAnsi="Times New Roman" w:eastAsia="宋体" w:cs="Courier New"/>
                <w:color w:val="auto"/>
                <w:kern w:val="2"/>
                <w:sz w:val="24"/>
                <w:szCs w:val="24"/>
                <w:highlight w:val="none"/>
                <w:lang w:val="en-US" w:eastAsia="zh-CN" w:bidi="ar-SA"/>
              </w:rPr>
            </w:pPr>
            <w:r>
              <w:rPr>
                <w:rFonts w:hint="eastAsia" w:ascii="Times New Roman" w:hAnsi="Times New Roman" w:eastAsia="宋体" w:cs="Courier New"/>
                <w:color w:val="auto"/>
                <w:kern w:val="2"/>
                <w:sz w:val="24"/>
                <w:szCs w:val="24"/>
                <w:highlight w:val="none"/>
                <w:lang w:val="en-US" w:eastAsia="zh-CN" w:bidi="ar-SA"/>
              </w:rPr>
              <w:t>6.2资源利用上线</w:t>
            </w:r>
          </w:p>
          <w:p>
            <w:pPr>
              <w:pStyle w:val="15"/>
              <w:spacing w:line="480" w:lineRule="exact"/>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（1）水资源</w:t>
            </w:r>
          </w:p>
          <w:p>
            <w:pPr>
              <w:pStyle w:val="15"/>
              <w:spacing w:line="480" w:lineRule="exact"/>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综合考虑《重点工业行业用水效率指南》</w:t>
            </w:r>
            <w:r>
              <w:rPr>
                <w:rFonts w:ascii="Times New Roman" w:hAnsi="Times New Roman"/>
                <w:color w:val="auto"/>
                <w:sz w:val="24"/>
                <w:szCs w:val="24"/>
                <w:highlight w:val="none"/>
              </w:rPr>
              <w:t>(工信部联节[2013]367 号)、《唐</w:t>
            </w:r>
            <w:r>
              <w:rPr>
                <w:rFonts w:hint="eastAsia" w:ascii="Times New Roman" w:hAnsi="Times New Roman"/>
                <w:color w:val="auto"/>
                <w:sz w:val="24"/>
                <w:szCs w:val="24"/>
                <w:highlight w:val="none"/>
              </w:rPr>
              <w:t>山市水污染防治工作方案》</w:t>
            </w:r>
            <w:r>
              <w:rPr>
                <w:rFonts w:ascii="Times New Roman" w:hAnsi="Times New Roman"/>
                <w:color w:val="auto"/>
                <w:sz w:val="24"/>
                <w:szCs w:val="24"/>
                <w:highlight w:val="none"/>
              </w:rPr>
              <w:t>(唐发[2016]6 号)确定水资源利用效率及总量控制线等</w:t>
            </w:r>
            <w:r>
              <w:rPr>
                <w:rFonts w:hint="eastAsia" w:ascii="Times New Roman" w:hAnsi="Times New Roman"/>
                <w:color w:val="auto"/>
                <w:sz w:val="24"/>
                <w:szCs w:val="24"/>
                <w:highlight w:val="none"/>
              </w:rPr>
              <w:t>相关要求。</w:t>
            </w:r>
          </w:p>
          <w:p>
            <w:pPr>
              <w:pStyle w:val="15"/>
              <w:spacing w:line="480" w:lineRule="exact"/>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钢铁行业普通钢厂吨钢产品取水限定额为</w:t>
            </w:r>
            <w:r>
              <w:rPr>
                <w:rFonts w:ascii="Times New Roman" w:hAnsi="Times New Roman"/>
                <w:color w:val="auto"/>
                <w:sz w:val="24"/>
                <w:szCs w:val="24"/>
                <w:highlight w:val="none"/>
              </w:rPr>
              <w:t>4.9m</w:t>
            </w:r>
            <w:r>
              <w:rPr>
                <w:rFonts w:ascii="Times New Roman" w:hAnsi="Times New Roman"/>
                <w:color w:val="auto"/>
                <w:sz w:val="24"/>
                <w:szCs w:val="24"/>
                <w:highlight w:val="none"/>
                <w:vertAlign w:val="superscript"/>
              </w:rPr>
              <w:t>3</w:t>
            </w:r>
            <w:r>
              <w:rPr>
                <w:rFonts w:ascii="Times New Roman" w:hAnsi="Times New Roman"/>
                <w:color w:val="auto"/>
                <w:sz w:val="24"/>
                <w:szCs w:val="24"/>
                <w:highlight w:val="none"/>
              </w:rPr>
              <w:t>，迁安经济开发区内7 家钢</w:t>
            </w:r>
            <w:r>
              <w:rPr>
                <w:rFonts w:hint="eastAsia" w:ascii="Times New Roman" w:hAnsi="Times New Roman"/>
                <w:color w:val="auto"/>
                <w:sz w:val="24"/>
                <w:szCs w:val="24"/>
                <w:highlight w:val="none"/>
              </w:rPr>
              <w:t>铁企业炼钢产能</w:t>
            </w:r>
            <w:r>
              <w:rPr>
                <w:rFonts w:ascii="Times New Roman" w:hAnsi="Times New Roman"/>
                <w:color w:val="auto"/>
                <w:sz w:val="24"/>
                <w:szCs w:val="24"/>
                <w:highlight w:val="none"/>
              </w:rPr>
              <w:t>3544万吨，取水上限为17365.6万m</w:t>
            </w:r>
            <w:r>
              <w:rPr>
                <w:rFonts w:ascii="Times New Roman" w:hAnsi="Times New Roman"/>
                <w:color w:val="auto"/>
                <w:sz w:val="24"/>
                <w:szCs w:val="24"/>
                <w:highlight w:val="none"/>
                <w:vertAlign w:val="superscript"/>
              </w:rPr>
              <w:t>3</w:t>
            </w:r>
            <w:r>
              <w:rPr>
                <w:rFonts w:ascii="Times New Roman" w:hAnsi="Times New Roman"/>
                <w:color w:val="auto"/>
                <w:sz w:val="24"/>
                <w:szCs w:val="24"/>
                <w:highlight w:val="none"/>
              </w:rPr>
              <w:t>。目前现状所有企业及未</w:t>
            </w:r>
            <w:r>
              <w:rPr>
                <w:rFonts w:hint="eastAsia" w:ascii="Times New Roman" w:hAnsi="Times New Roman"/>
                <w:color w:val="auto"/>
                <w:sz w:val="24"/>
                <w:szCs w:val="24"/>
                <w:highlight w:val="none"/>
              </w:rPr>
              <w:t>来增加的用水量合计为</w:t>
            </w:r>
            <w:r>
              <w:rPr>
                <w:rFonts w:ascii="Times New Roman" w:hAnsi="Times New Roman"/>
                <w:color w:val="auto"/>
                <w:sz w:val="24"/>
                <w:szCs w:val="24"/>
                <w:highlight w:val="none"/>
              </w:rPr>
              <w:t>15769.5万m</w:t>
            </w:r>
            <w:r>
              <w:rPr>
                <w:rFonts w:ascii="Times New Roman" w:hAnsi="Times New Roman"/>
                <w:color w:val="auto"/>
                <w:sz w:val="24"/>
                <w:szCs w:val="24"/>
                <w:highlight w:val="none"/>
                <w:vertAlign w:val="superscript"/>
              </w:rPr>
              <w:t>3</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根据迁安经济开发区制定的供水方案，规划期内傍河取水水源井供水能力达到</w:t>
            </w:r>
            <w:r>
              <w:rPr>
                <w:rFonts w:ascii="Times New Roman" w:hAnsi="Times New Roman"/>
                <w:color w:val="auto"/>
                <w:sz w:val="24"/>
                <w:szCs w:val="24"/>
                <w:highlight w:val="none"/>
              </w:rPr>
              <w:t>12019万m³/a，滦河地表水供水能力达到9000万m³/a，开发区总供水能力达到21000万m³/a。</w:t>
            </w:r>
            <w:r>
              <w:rPr>
                <w:rFonts w:hint="eastAsia" w:ascii="Times New Roman" w:hAnsi="Times New Roman"/>
                <w:color w:val="auto"/>
                <w:sz w:val="24"/>
                <w:szCs w:val="24"/>
                <w:highlight w:val="none"/>
              </w:rPr>
              <w:t>因此，确定河北迁安经济开发区水资源上限为</w:t>
            </w:r>
            <w:r>
              <w:rPr>
                <w:rFonts w:ascii="Times New Roman" w:hAnsi="Times New Roman"/>
                <w:color w:val="auto"/>
                <w:sz w:val="24"/>
                <w:szCs w:val="24"/>
                <w:highlight w:val="none"/>
              </w:rPr>
              <w:t>15770万m</w:t>
            </w:r>
            <w:r>
              <w:rPr>
                <w:rFonts w:ascii="Times New Roman" w:hAnsi="Times New Roman"/>
                <w:color w:val="auto"/>
                <w:sz w:val="24"/>
                <w:szCs w:val="24"/>
                <w:highlight w:val="none"/>
                <w:vertAlign w:val="superscript"/>
              </w:rPr>
              <w:t>3</w:t>
            </w:r>
            <w:r>
              <w:rPr>
                <w:rFonts w:ascii="Times New Roman" w:hAnsi="Times New Roman"/>
                <w:color w:val="auto"/>
                <w:sz w:val="24"/>
                <w:szCs w:val="24"/>
                <w:highlight w:val="none"/>
              </w:rPr>
              <w:t>；地表水利用上限</w:t>
            </w:r>
            <w:r>
              <w:rPr>
                <w:rFonts w:hint="eastAsia" w:ascii="Times New Roman" w:hAnsi="Times New Roman"/>
                <w:color w:val="auto"/>
                <w:sz w:val="24"/>
                <w:szCs w:val="24"/>
                <w:highlight w:val="none"/>
              </w:rPr>
              <w:t>为</w:t>
            </w:r>
            <w:r>
              <w:rPr>
                <w:rFonts w:ascii="Times New Roman" w:hAnsi="Times New Roman"/>
                <w:color w:val="auto"/>
                <w:sz w:val="24"/>
                <w:szCs w:val="24"/>
                <w:highlight w:val="none"/>
              </w:rPr>
              <w:t>9000万m³/a；地下水水资源开发上限为12000万m³/a。</w:t>
            </w:r>
          </w:p>
          <w:p>
            <w:pPr>
              <w:spacing w:line="480" w:lineRule="exact"/>
              <w:ind w:firstLine="482" w:firstLineChars="200"/>
              <w:rPr>
                <w:rFonts w:ascii="Times New Roman" w:hAnsi="Times New Roman"/>
                <w:b/>
                <w:bCs/>
                <w:color w:val="auto"/>
                <w:sz w:val="24"/>
                <w:szCs w:val="24"/>
                <w:highlight w:val="none"/>
              </w:rPr>
            </w:pPr>
            <w:r>
              <w:rPr>
                <w:rFonts w:hint="eastAsia"/>
                <w:b/>
                <w:color w:val="auto"/>
                <w:sz w:val="24"/>
                <w:szCs w:val="24"/>
                <w:highlight w:val="none"/>
                <w:lang w:eastAsia="zh-CN"/>
              </w:rPr>
              <w:t>技改</w:t>
            </w:r>
            <w:r>
              <w:rPr>
                <w:rFonts w:hint="eastAsia" w:ascii="Times New Roman" w:hAnsi="Times New Roman"/>
                <w:b/>
                <w:color w:val="auto"/>
                <w:sz w:val="24"/>
                <w:szCs w:val="24"/>
                <w:highlight w:val="none"/>
              </w:rPr>
              <w:t>项目</w:t>
            </w:r>
            <w:r>
              <w:rPr>
                <w:rFonts w:ascii="Times New Roman" w:hAnsi="Times New Roman"/>
                <w:b/>
                <w:color w:val="auto"/>
                <w:sz w:val="24"/>
                <w:szCs w:val="24"/>
                <w:highlight w:val="none"/>
              </w:rPr>
              <w:t>用水</w:t>
            </w:r>
            <w:r>
              <w:rPr>
                <w:rFonts w:hint="eastAsia" w:ascii="Times New Roman" w:hAnsi="Times New Roman"/>
                <w:b/>
                <w:color w:val="auto"/>
                <w:sz w:val="24"/>
                <w:szCs w:val="24"/>
                <w:highlight w:val="none"/>
              </w:rPr>
              <w:t>依托</w:t>
            </w:r>
            <w:r>
              <w:rPr>
                <w:rFonts w:hint="eastAsia"/>
                <w:b/>
                <w:color w:val="auto"/>
                <w:sz w:val="24"/>
                <w:szCs w:val="24"/>
                <w:highlight w:val="none"/>
                <w:lang w:eastAsia="zh-CN"/>
              </w:rPr>
              <w:t>厂区现有管网，由园区统一供水，技改</w:t>
            </w:r>
            <w:r>
              <w:rPr>
                <w:rFonts w:hint="eastAsia" w:ascii="Times New Roman" w:hAnsi="Times New Roman"/>
                <w:b/>
                <w:bCs/>
                <w:color w:val="auto"/>
                <w:sz w:val="24"/>
                <w:szCs w:val="24"/>
                <w:highlight w:val="none"/>
              </w:rPr>
              <w:t>项目</w:t>
            </w:r>
            <w:r>
              <w:rPr>
                <w:rFonts w:hint="eastAsia"/>
                <w:b/>
                <w:bCs/>
                <w:color w:val="auto"/>
                <w:sz w:val="24"/>
                <w:szCs w:val="24"/>
                <w:highlight w:val="none"/>
                <w:lang w:eastAsia="zh-CN"/>
              </w:rPr>
              <w:t>新增用水主要为切削液配置用水，</w:t>
            </w:r>
            <w:r>
              <w:rPr>
                <w:rFonts w:hint="eastAsia" w:ascii="Times New Roman" w:hAnsi="Times New Roman"/>
                <w:b/>
                <w:bCs/>
                <w:color w:val="auto"/>
                <w:sz w:val="24"/>
                <w:szCs w:val="24"/>
                <w:highlight w:val="none"/>
              </w:rPr>
              <w:t>取水量为</w:t>
            </w:r>
            <w:r>
              <w:rPr>
                <w:rFonts w:hint="eastAsia"/>
                <w:b/>
                <w:bCs/>
                <w:color w:val="auto"/>
                <w:sz w:val="24"/>
                <w:szCs w:val="24"/>
                <w:highlight w:val="none"/>
                <w:lang w:val="en-US" w:eastAsia="zh-CN"/>
              </w:rPr>
              <w:t>19.8</w:t>
            </w:r>
            <w:r>
              <w:rPr>
                <w:rFonts w:hint="eastAsia" w:ascii="Times New Roman" w:hAnsi="Times New Roman"/>
                <w:b/>
                <w:bCs/>
                <w:color w:val="auto"/>
                <w:sz w:val="24"/>
                <w:szCs w:val="24"/>
                <w:highlight w:val="none"/>
              </w:rPr>
              <w:t>m</w:t>
            </w:r>
            <w:r>
              <w:rPr>
                <w:rFonts w:hint="eastAsia" w:ascii="Times New Roman" w:hAnsi="Times New Roman"/>
                <w:b/>
                <w:bCs/>
                <w:color w:val="auto"/>
                <w:sz w:val="24"/>
                <w:szCs w:val="24"/>
                <w:highlight w:val="none"/>
                <w:vertAlign w:val="superscript"/>
              </w:rPr>
              <w:t>3</w:t>
            </w:r>
            <w:r>
              <w:rPr>
                <w:rFonts w:hint="eastAsia" w:ascii="Times New Roman" w:hAnsi="Times New Roman"/>
                <w:b/>
                <w:bCs/>
                <w:color w:val="auto"/>
                <w:sz w:val="24"/>
                <w:szCs w:val="24"/>
                <w:highlight w:val="none"/>
              </w:rPr>
              <w:t>/a；</w:t>
            </w:r>
            <w:r>
              <w:rPr>
                <w:rFonts w:hint="eastAsia"/>
                <w:b/>
                <w:bCs/>
                <w:color w:val="auto"/>
                <w:sz w:val="24"/>
                <w:szCs w:val="24"/>
                <w:highlight w:val="none"/>
                <w:lang w:eastAsia="zh-CN"/>
              </w:rPr>
              <w:t>用水量较少，</w:t>
            </w:r>
            <w:r>
              <w:rPr>
                <w:rFonts w:hint="eastAsia" w:ascii="Times New Roman" w:hAnsi="Times New Roman"/>
                <w:b/>
                <w:color w:val="auto"/>
                <w:sz w:val="24"/>
                <w:szCs w:val="24"/>
                <w:highlight w:val="none"/>
              </w:rPr>
              <w:t>本</w:t>
            </w:r>
            <w:r>
              <w:rPr>
                <w:rFonts w:hint="eastAsia"/>
                <w:b/>
                <w:color w:val="auto"/>
                <w:sz w:val="24"/>
                <w:szCs w:val="24"/>
                <w:highlight w:val="none"/>
                <w:lang w:eastAsia="zh-CN"/>
              </w:rPr>
              <w:t>次技改</w:t>
            </w:r>
            <w:r>
              <w:rPr>
                <w:rFonts w:hint="eastAsia" w:ascii="Times New Roman" w:hAnsi="Times New Roman"/>
                <w:b/>
                <w:color w:val="auto"/>
                <w:sz w:val="24"/>
                <w:szCs w:val="24"/>
                <w:highlight w:val="none"/>
              </w:rPr>
              <w:t>项目不会突破水资源利用上限。</w:t>
            </w:r>
          </w:p>
          <w:p>
            <w:pPr>
              <w:pStyle w:val="76"/>
              <w:spacing w:line="490" w:lineRule="exact"/>
              <w:rPr>
                <w:rFonts w:hAnsi="Times New Roman"/>
                <w:bCs/>
                <w:color w:val="auto"/>
                <w:kern w:val="0"/>
                <w:sz w:val="24"/>
                <w:szCs w:val="24"/>
                <w:highlight w:val="none"/>
              </w:rPr>
            </w:pPr>
            <w:r>
              <w:rPr>
                <w:rFonts w:hint="eastAsia" w:hAnsi="Times New Roman"/>
                <w:bCs/>
                <w:color w:val="auto"/>
                <w:kern w:val="0"/>
                <w:sz w:val="24"/>
                <w:szCs w:val="24"/>
                <w:highlight w:val="none"/>
              </w:rPr>
              <w:t>（2）土地资源利用上限</w:t>
            </w:r>
          </w:p>
          <w:p>
            <w:pPr>
              <w:pStyle w:val="76"/>
              <w:spacing w:line="490" w:lineRule="exact"/>
              <w:rPr>
                <w:rFonts w:hAnsi="Times New Roman"/>
                <w:bCs/>
                <w:color w:val="auto"/>
                <w:kern w:val="0"/>
                <w:sz w:val="24"/>
                <w:szCs w:val="24"/>
                <w:highlight w:val="none"/>
              </w:rPr>
            </w:pPr>
            <w:r>
              <w:rPr>
                <w:rFonts w:hint="eastAsia" w:hAnsi="Times New Roman"/>
                <w:bCs/>
                <w:color w:val="auto"/>
                <w:kern w:val="0"/>
                <w:sz w:val="24"/>
                <w:szCs w:val="24"/>
                <w:highlight w:val="none"/>
              </w:rPr>
              <w:t>根据《河北迁安经济开发区总体规划修编调整》</w:t>
            </w:r>
            <w:r>
              <w:rPr>
                <w:rFonts w:hAnsi="Times New Roman"/>
                <w:bCs/>
                <w:color w:val="auto"/>
                <w:kern w:val="0"/>
                <w:sz w:val="24"/>
                <w:szCs w:val="24"/>
                <w:highlight w:val="none"/>
              </w:rPr>
              <w:t>(2018-2030 年)，规划总面积5</w:t>
            </w:r>
            <w:r>
              <w:rPr>
                <w:rFonts w:hint="eastAsia" w:hAnsi="Times New Roman"/>
                <w:bCs/>
                <w:color w:val="auto"/>
                <w:kern w:val="0"/>
                <w:sz w:val="24"/>
                <w:szCs w:val="24"/>
                <w:highlight w:val="none"/>
              </w:rPr>
              <w:t>5.55</w:t>
            </w:r>
            <w:r>
              <w:rPr>
                <w:rFonts w:hAnsi="Times New Roman"/>
                <w:bCs/>
                <w:color w:val="auto"/>
                <w:kern w:val="0"/>
                <w:sz w:val="24"/>
                <w:szCs w:val="24"/>
                <w:highlight w:val="none"/>
              </w:rPr>
              <w:t>km²</w:t>
            </w:r>
            <w:r>
              <w:rPr>
                <w:rFonts w:hint="eastAsia" w:hAnsi="Times New Roman"/>
                <w:bCs/>
                <w:color w:val="auto"/>
                <w:kern w:val="0"/>
                <w:sz w:val="24"/>
                <w:szCs w:val="24"/>
                <w:highlight w:val="none"/>
              </w:rPr>
              <w:t>。</w:t>
            </w:r>
            <w:r>
              <w:rPr>
                <w:rFonts w:hAnsi="Times New Roman"/>
                <w:color w:val="auto"/>
                <w:sz w:val="24"/>
                <w:szCs w:val="24"/>
                <w:highlight w:val="none"/>
              </w:rPr>
              <w:t>迁安经济开发区到规划远期2030年，即使5</w:t>
            </w:r>
            <w:r>
              <w:rPr>
                <w:rFonts w:hint="eastAsia" w:hAnsi="Times New Roman"/>
                <w:color w:val="auto"/>
                <w:sz w:val="24"/>
                <w:szCs w:val="24"/>
                <w:highlight w:val="none"/>
              </w:rPr>
              <w:t>5</w:t>
            </w:r>
            <w:r>
              <w:rPr>
                <w:rFonts w:hAnsi="Times New Roman"/>
                <w:color w:val="auto"/>
                <w:sz w:val="24"/>
                <w:szCs w:val="24"/>
                <w:highlight w:val="none"/>
              </w:rPr>
              <w:t>.55km²范围内全部落满工业企业，最大需增加耕地转工业用地1145.47公顷，占迁安市新增建设用地规模指标7516.87公顷的15.24%。迁安市2015-2020年通过土地复垦、土地开发补充耕地指标6618.64公顷，完全满足迁安经济开发区发展需要。迁安经济开发区具有较强的土地资源承载力。</w:t>
            </w:r>
          </w:p>
          <w:p>
            <w:pPr>
              <w:pStyle w:val="76"/>
              <w:spacing w:line="490" w:lineRule="exact"/>
              <w:ind w:firstLine="482"/>
              <w:rPr>
                <w:rFonts w:hAnsi="Times New Roman"/>
                <w:b/>
                <w:color w:val="auto"/>
                <w:sz w:val="24"/>
                <w:szCs w:val="24"/>
                <w:highlight w:val="none"/>
              </w:rPr>
            </w:pPr>
            <w:r>
              <w:rPr>
                <w:rFonts w:hint="eastAsia" w:hAnsi="Times New Roman"/>
                <w:b/>
                <w:color w:val="auto"/>
                <w:sz w:val="24"/>
                <w:szCs w:val="24"/>
                <w:highlight w:val="none"/>
              </w:rPr>
              <w:t>本项目位于河北迁安经济开发区智能创新产业园中装备制造区，位于</w:t>
            </w:r>
            <w:r>
              <w:rPr>
                <w:rFonts w:hint="eastAsia"/>
                <w:b/>
                <w:color w:val="auto"/>
                <w:sz w:val="24"/>
                <w:szCs w:val="24"/>
                <w:highlight w:val="none"/>
                <w:lang w:eastAsia="zh-CN"/>
              </w:rPr>
              <w:t>现有</w:t>
            </w:r>
            <w:r>
              <w:rPr>
                <w:rFonts w:hint="eastAsia" w:hAnsi="Times New Roman"/>
                <w:b/>
                <w:color w:val="auto"/>
                <w:sz w:val="24"/>
                <w:szCs w:val="24"/>
                <w:highlight w:val="none"/>
              </w:rPr>
              <w:t>厂区内，不新增占地，为三类工业用地，不属于基本农田，用地性质为工业用地，占地符合要求。</w:t>
            </w:r>
          </w:p>
          <w:p>
            <w:pPr>
              <w:pStyle w:val="76"/>
              <w:numPr>
                <w:ilvl w:val="0"/>
                <w:numId w:val="4"/>
              </w:numPr>
              <w:spacing w:line="490" w:lineRule="exact"/>
              <w:ind w:left="0" w:leftChars="0" w:firstLine="480" w:firstLineChars="200"/>
              <w:rPr>
                <w:rFonts w:hint="eastAsia" w:hAnsi="Times New Roman"/>
                <w:color w:val="auto"/>
                <w:sz w:val="24"/>
                <w:szCs w:val="24"/>
                <w:highlight w:val="none"/>
              </w:rPr>
            </w:pPr>
            <w:r>
              <w:rPr>
                <w:rFonts w:hint="eastAsia" w:hAnsi="Times New Roman"/>
                <w:color w:val="auto"/>
                <w:sz w:val="24"/>
                <w:szCs w:val="24"/>
                <w:highlight w:val="none"/>
              </w:rPr>
              <w:t>能源消耗</w:t>
            </w:r>
          </w:p>
          <w:p>
            <w:pPr>
              <w:pStyle w:val="15"/>
              <w:spacing w:line="480" w:lineRule="exact"/>
              <w:ind w:firstLine="482" w:firstLineChars="200"/>
              <w:rPr>
                <w:rFonts w:hint="eastAsia" w:ascii="Times New Roman" w:hAnsi="Times New Roman" w:cs="Times New Roman"/>
                <w:color w:val="auto"/>
                <w:sz w:val="24"/>
                <w:szCs w:val="24"/>
                <w:highlight w:val="none"/>
                <w:lang w:eastAsia="zh-CN"/>
              </w:rPr>
            </w:pPr>
            <w:r>
              <w:rPr>
                <w:rFonts w:ascii="Times New Roman" w:hAnsi="Times New Roman"/>
                <w:b/>
                <w:color w:val="auto"/>
                <w:sz w:val="24"/>
                <w:szCs w:val="24"/>
                <w:highlight w:val="none"/>
              </w:rPr>
              <w:t>本项目水、电等用量</w:t>
            </w:r>
            <w:r>
              <w:rPr>
                <w:rFonts w:hint="eastAsia" w:ascii="Times New Roman" w:hAnsi="Times New Roman"/>
                <w:b/>
                <w:color w:val="auto"/>
                <w:sz w:val="24"/>
                <w:szCs w:val="24"/>
                <w:highlight w:val="none"/>
              </w:rPr>
              <w:t>及土地资源利用上限</w:t>
            </w:r>
            <w:r>
              <w:rPr>
                <w:rFonts w:ascii="Times New Roman" w:hAnsi="Times New Roman"/>
                <w:b/>
                <w:color w:val="auto"/>
                <w:sz w:val="24"/>
                <w:szCs w:val="24"/>
                <w:highlight w:val="none"/>
              </w:rPr>
              <w:t>不会突破园区资源利用上线。</w:t>
            </w:r>
          </w:p>
          <w:p>
            <w:pPr>
              <w:pStyle w:val="44"/>
              <w:spacing w:line="360" w:lineRule="auto"/>
              <w:ind w:firstLine="482"/>
              <w:rPr>
                <w:b/>
                <w:color w:val="auto"/>
                <w:sz w:val="24"/>
                <w:szCs w:val="24"/>
                <w:highlight w:val="none"/>
              </w:rPr>
            </w:pPr>
            <w:r>
              <w:rPr>
                <w:rFonts w:hint="eastAsia"/>
                <w:b/>
                <w:color w:val="auto"/>
                <w:sz w:val="24"/>
                <w:szCs w:val="24"/>
                <w:highlight w:val="none"/>
              </w:rPr>
              <w:t>8</w:t>
            </w:r>
            <w:r>
              <w:rPr>
                <w:b/>
                <w:color w:val="auto"/>
                <w:sz w:val="24"/>
                <w:szCs w:val="24"/>
                <w:highlight w:val="none"/>
              </w:rPr>
              <w:t>、产业政策符合性</w:t>
            </w:r>
          </w:p>
          <w:p>
            <w:pPr>
              <w:spacing w:line="360" w:lineRule="auto"/>
              <w:ind w:firstLine="480" w:firstLineChars="200"/>
              <w:rPr>
                <w:color w:val="auto"/>
                <w:sz w:val="24"/>
                <w:szCs w:val="24"/>
                <w:highlight w:val="none"/>
              </w:rPr>
            </w:pPr>
            <w:r>
              <w:rPr>
                <w:color w:val="auto"/>
                <w:sz w:val="24"/>
                <w:szCs w:val="24"/>
                <w:highlight w:val="none"/>
              </w:rPr>
              <w:t>本项目属于</w:t>
            </w:r>
            <w:r>
              <w:rPr>
                <w:rFonts w:hint="eastAsia"/>
                <w:color w:val="auto"/>
                <w:sz w:val="24"/>
                <w:szCs w:val="24"/>
                <w:highlight w:val="none"/>
                <w:lang w:eastAsia="zh-CN"/>
              </w:rPr>
              <w:t>金属制品业</w:t>
            </w:r>
            <w:r>
              <w:rPr>
                <w:color w:val="auto"/>
                <w:sz w:val="24"/>
                <w:szCs w:val="24"/>
                <w:highlight w:val="none"/>
              </w:rPr>
              <w:t>，根据中华人民共和国发展和改革委员会</w:t>
            </w:r>
            <w:r>
              <w:rPr>
                <w:rFonts w:hint="eastAsia"/>
                <w:color w:val="auto"/>
                <w:sz w:val="24"/>
                <w:szCs w:val="24"/>
                <w:highlight w:val="none"/>
              </w:rPr>
              <w:t>《产业结构调整指导目录（201</w:t>
            </w:r>
            <w:r>
              <w:rPr>
                <w:rFonts w:hint="eastAsia"/>
                <w:color w:val="auto"/>
                <w:sz w:val="24"/>
                <w:szCs w:val="24"/>
                <w:highlight w:val="none"/>
                <w:lang w:val="en-US" w:eastAsia="zh-CN"/>
              </w:rPr>
              <w:t>9</w:t>
            </w:r>
            <w:r>
              <w:rPr>
                <w:rFonts w:hint="eastAsia"/>
                <w:color w:val="auto"/>
                <w:sz w:val="24"/>
                <w:szCs w:val="24"/>
                <w:highlight w:val="none"/>
              </w:rPr>
              <w:t>年本）》</w:t>
            </w:r>
            <w:r>
              <w:rPr>
                <w:color w:val="auto"/>
                <w:sz w:val="24"/>
                <w:szCs w:val="24"/>
                <w:highlight w:val="none"/>
              </w:rPr>
              <w:t>中的要求，该项目</w:t>
            </w:r>
            <w:r>
              <w:rPr>
                <w:rFonts w:hint="eastAsia"/>
                <w:color w:val="auto"/>
                <w:sz w:val="24"/>
                <w:szCs w:val="24"/>
                <w:highlight w:val="none"/>
                <w:lang w:eastAsia="zh-CN"/>
              </w:rPr>
              <w:t>不在鼓励类、限制类、淘汰类之列，为允许类</w:t>
            </w:r>
            <w:r>
              <w:rPr>
                <w:color w:val="auto"/>
                <w:sz w:val="24"/>
                <w:szCs w:val="24"/>
                <w:highlight w:val="none"/>
              </w:rPr>
              <w:t>，</w:t>
            </w:r>
            <w:r>
              <w:rPr>
                <w:rFonts w:hint="eastAsia"/>
                <w:color w:val="auto"/>
                <w:sz w:val="24"/>
                <w:szCs w:val="24"/>
                <w:highlight w:val="none"/>
                <w:lang w:eastAsia="zh-CN"/>
              </w:rPr>
              <w:t>且</w:t>
            </w:r>
            <w:r>
              <w:rPr>
                <w:rFonts w:hint="eastAsia"/>
                <w:color w:val="auto"/>
                <w:sz w:val="24"/>
                <w:szCs w:val="24"/>
                <w:highlight w:val="none"/>
              </w:rPr>
              <w:t>不属于</w:t>
            </w:r>
            <w:r>
              <w:rPr>
                <w:color w:val="auto"/>
                <w:sz w:val="24"/>
                <w:szCs w:val="24"/>
                <w:highlight w:val="none"/>
              </w:rPr>
              <w:t>《河北省新增限制和淘汰类产业目录 (2015年版)》</w:t>
            </w:r>
            <w:r>
              <w:rPr>
                <w:rFonts w:hint="eastAsia"/>
                <w:color w:val="auto"/>
                <w:sz w:val="24"/>
                <w:szCs w:val="24"/>
                <w:highlight w:val="none"/>
              </w:rPr>
              <w:t>中新增的限值和淘汰类，</w:t>
            </w:r>
            <w:r>
              <w:rPr>
                <w:color w:val="auto"/>
                <w:sz w:val="24"/>
                <w:szCs w:val="24"/>
                <w:highlight w:val="none"/>
              </w:rPr>
              <w:t>工艺、设备、规模均符合国家产业政策。</w:t>
            </w:r>
          </w:p>
          <w:p>
            <w:pPr>
              <w:spacing w:line="360" w:lineRule="auto"/>
              <w:ind w:firstLine="480" w:firstLineChars="200"/>
              <w:rPr>
                <w:color w:val="auto"/>
                <w:sz w:val="24"/>
                <w:highlight w:val="none"/>
              </w:rPr>
            </w:pPr>
            <w:r>
              <w:rPr>
                <w:color w:val="auto"/>
                <w:sz w:val="24"/>
                <w:szCs w:val="24"/>
                <w:highlight w:val="none"/>
              </w:rPr>
              <w:t>本项目已经由</w:t>
            </w:r>
            <w:r>
              <w:rPr>
                <w:rFonts w:hint="eastAsia"/>
                <w:color w:val="auto"/>
                <w:sz w:val="24"/>
                <w:szCs w:val="24"/>
                <w:highlight w:val="none"/>
                <w:lang w:eastAsia="zh-CN"/>
              </w:rPr>
              <w:t>河北</w:t>
            </w:r>
            <w:r>
              <w:rPr>
                <w:rFonts w:hint="eastAsia"/>
                <w:color w:val="auto"/>
                <w:kern w:val="24"/>
                <w:sz w:val="24"/>
                <w:szCs w:val="24"/>
                <w:highlight w:val="none"/>
                <w:lang w:eastAsia="zh-CN"/>
              </w:rPr>
              <w:t>迁安经济开发区行政审批局</w:t>
            </w:r>
            <w:r>
              <w:rPr>
                <w:color w:val="auto"/>
                <w:sz w:val="24"/>
                <w:szCs w:val="24"/>
                <w:highlight w:val="none"/>
              </w:rPr>
              <w:t>备案，备案证号为：</w:t>
            </w:r>
            <w:r>
              <w:rPr>
                <w:rFonts w:hint="eastAsia"/>
                <w:color w:val="auto"/>
                <w:kern w:val="24"/>
                <w:sz w:val="24"/>
                <w:szCs w:val="24"/>
                <w:highlight w:val="none"/>
                <w:lang w:eastAsia="zh-CN"/>
              </w:rPr>
              <w:t>迁经开行审投资备字[2020]</w:t>
            </w:r>
            <w:r>
              <w:rPr>
                <w:rFonts w:hint="eastAsia"/>
                <w:color w:val="auto"/>
                <w:kern w:val="24"/>
                <w:sz w:val="24"/>
                <w:szCs w:val="24"/>
                <w:highlight w:val="none"/>
                <w:lang w:val="en-US" w:eastAsia="zh-CN"/>
              </w:rPr>
              <w:t>29</w:t>
            </w:r>
            <w:r>
              <w:rPr>
                <w:rFonts w:hint="eastAsia"/>
                <w:color w:val="auto"/>
                <w:kern w:val="24"/>
                <w:sz w:val="24"/>
                <w:szCs w:val="24"/>
                <w:highlight w:val="none"/>
                <w:lang w:eastAsia="zh-CN"/>
              </w:rPr>
              <w:t>号</w:t>
            </w:r>
            <w:r>
              <w:rPr>
                <w:color w:val="auto"/>
                <w:sz w:val="24"/>
                <w:szCs w:val="24"/>
                <w:highlight w:val="none"/>
              </w:rPr>
              <w:t>。综上所述，本项目符合国家产业政策。</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1720" w:hRule="atLeast"/>
          <w:jc w:val="center"/>
        </w:trPr>
        <w:tc>
          <w:tcPr>
            <w:tcW w:w="9355" w:type="dxa"/>
            <w:gridSpan w:val="9"/>
          </w:tcPr>
          <w:p>
            <w:pPr>
              <w:spacing w:line="500" w:lineRule="exact"/>
              <w:ind w:right="113"/>
              <w:rPr>
                <w:color w:val="auto"/>
                <w:kern w:val="24"/>
                <w:sz w:val="28"/>
                <w:szCs w:val="28"/>
                <w:highlight w:val="none"/>
              </w:rPr>
            </w:pPr>
            <w:r>
              <w:rPr>
                <w:b/>
                <w:color w:val="auto"/>
                <w:kern w:val="24"/>
                <w:sz w:val="28"/>
                <w:szCs w:val="28"/>
                <w:highlight w:val="none"/>
              </w:rPr>
              <w:t>与本项目有关的原有污染情况及主要环境问题</w:t>
            </w:r>
            <w:r>
              <w:rPr>
                <w:color w:val="auto"/>
                <w:kern w:val="24"/>
                <w:sz w:val="28"/>
                <w:szCs w:val="28"/>
                <w:highlight w:val="none"/>
              </w:rPr>
              <w:t>：</w:t>
            </w:r>
          </w:p>
          <w:p>
            <w:pPr>
              <w:pStyle w:val="27"/>
              <w:spacing w:before="0" w:beforeAutospacing="0" w:after="0" w:afterAutospacing="0" w:line="360" w:lineRule="auto"/>
              <w:ind w:firstLine="480" w:firstLineChars="200"/>
              <w:jc w:val="both"/>
              <w:rPr>
                <w:rFonts w:hint="default" w:ascii="Times New Roman" w:hAnsi="Times New Roman" w:cs="Times New Roman"/>
                <w:shadow w:val="0"/>
                <w:emboss w:val="0"/>
                <w:imprint w:val="0"/>
                <w:color w:val="auto"/>
                <w:sz w:val="24"/>
                <w:highlight w:val="none"/>
                <w:lang w:val="en-US" w:eastAsia="zh-CN"/>
              </w:rPr>
            </w:pPr>
            <w:r>
              <w:rPr>
                <w:rFonts w:hint="eastAsia" w:ascii="Times New Roman" w:hAnsi="Times New Roman"/>
                <w:shadow w:val="0"/>
                <w:emboss w:val="0"/>
                <w:imprint w:val="0"/>
                <w:color w:val="auto"/>
                <w:sz w:val="24"/>
                <w:highlight w:val="none"/>
                <w:lang w:eastAsia="zh-CN"/>
              </w:rPr>
              <w:t>河北透平风机制造有限公司始建于</w:t>
            </w:r>
            <w:r>
              <w:rPr>
                <w:rFonts w:hint="eastAsia" w:ascii="Times New Roman" w:hAnsi="Times New Roman"/>
                <w:shadow w:val="0"/>
                <w:emboss w:val="0"/>
                <w:imprint w:val="0"/>
                <w:color w:val="auto"/>
                <w:sz w:val="24"/>
                <w:highlight w:val="none"/>
                <w:lang w:val="en-US" w:eastAsia="zh-CN"/>
              </w:rPr>
              <w:t>2015年10月。公司委托唐山立业工程技术咨询有限公司编制了《</w:t>
            </w:r>
            <w:r>
              <w:rPr>
                <w:rFonts w:hint="eastAsia" w:ascii="Times New Roman" w:hAnsi="Times New Roman"/>
                <w:shadow w:val="0"/>
                <w:emboss w:val="0"/>
                <w:imprint w:val="0"/>
                <w:color w:val="auto"/>
                <w:sz w:val="24"/>
                <w:highlight w:val="none"/>
                <w:lang w:eastAsia="zh-CN"/>
              </w:rPr>
              <w:t>河北透平风机制造有限公司</w:t>
            </w:r>
            <w:r>
              <w:rPr>
                <w:rFonts w:hint="eastAsia" w:ascii="Times New Roman" w:hAnsi="Times New Roman"/>
                <w:shadow w:val="0"/>
                <w:emboss w:val="0"/>
                <w:imprint w:val="0"/>
                <w:color w:val="auto"/>
                <w:sz w:val="24"/>
                <w:highlight w:val="none"/>
                <w:lang w:val="en-US" w:eastAsia="zh-CN"/>
              </w:rPr>
              <w:t>激光熔覆修复及透平机配件生产项目》环境影响评价报告表，并取得了迁安市环境环保局批复（迁环表[2017]22号）。并</w:t>
            </w:r>
            <w:r>
              <w:rPr>
                <w:rFonts w:hint="default" w:ascii="Times New Roman" w:hAnsi="Times New Roman" w:eastAsia="宋体" w:cs="Times New Roman"/>
                <w:shadow w:val="0"/>
                <w:emboss w:val="0"/>
                <w:imprint w:val="0"/>
                <w:color w:val="auto"/>
                <w:sz w:val="24"/>
                <w:highlight w:val="none"/>
                <w:lang w:val="en-US" w:eastAsia="zh-CN"/>
              </w:rPr>
              <w:t>于</w:t>
            </w:r>
            <w:r>
              <w:rPr>
                <w:rFonts w:hint="eastAsia" w:ascii="Times New Roman" w:hAnsi="Times New Roman" w:cs="Times New Roman"/>
                <w:shadow w:val="0"/>
                <w:emboss w:val="0"/>
                <w:imprint w:val="0"/>
                <w:color w:val="auto"/>
                <w:sz w:val="24"/>
                <w:highlight w:val="none"/>
                <w:lang w:val="en-US" w:eastAsia="zh-CN"/>
              </w:rPr>
              <w:t>2019年1月</w:t>
            </w:r>
            <w:r>
              <w:rPr>
                <w:rFonts w:hint="default" w:ascii="Times New Roman" w:hAnsi="Times New Roman" w:eastAsia="宋体" w:cs="Times New Roman"/>
                <w:shadow w:val="0"/>
                <w:emboss w:val="0"/>
                <w:imprint w:val="0"/>
                <w:color w:val="auto"/>
                <w:sz w:val="24"/>
                <w:highlight w:val="none"/>
                <w:lang w:val="en-US" w:eastAsia="zh-CN"/>
              </w:rPr>
              <w:t>通过竣工环境保护</w:t>
            </w:r>
            <w:r>
              <w:rPr>
                <w:rFonts w:hint="eastAsia" w:ascii="Times New Roman" w:hAnsi="Times New Roman" w:cs="Times New Roman"/>
                <w:shadow w:val="0"/>
                <w:emboss w:val="0"/>
                <w:imprint w:val="0"/>
                <w:color w:val="auto"/>
                <w:sz w:val="24"/>
                <w:highlight w:val="none"/>
                <w:lang w:val="en-US" w:eastAsia="zh-CN"/>
              </w:rPr>
              <w:t>自主</w:t>
            </w:r>
            <w:r>
              <w:rPr>
                <w:rFonts w:hint="default" w:ascii="Times New Roman" w:hAnsi="Times New Roman" w:eastAsia="宋体" w:cs="Times New Roman"/>
                <w:shadow w:val="0"/>
                <w:emboss w:val="0"/>
                <w:imprint w:val="0"/>
                <w:color w:val="auto"/>
                <w:sz w:val="24"/>
                <w:highlight w:val="none"/>
                <w:lang w:val="en-US" w:eastAsia="zh-CN"/>
              </w:rPr>
              <w:t>验收</w:t>
            </w:r>
            <w:r>
              <w:rPr>
                <w:rFonts w:hint="eastAsia" w:ascii="Times New Roman" w:hAnsi="Times New Roman" w:cs="Times New Roman"/>
                <w:shadow w:val="0"/>
                <w:emboss w:val="0"/>
                <w:imprint w:val="0"/>
                <w:color w:val="auto"/>
                <w:sz w:val="24"/>
                <w:highlight w:val="none"/>
                <w:lang w:val="en-US" w:eastAsia="zh-CN"/>
              </w:rPr>
              <w:t>，2019年2月唐山市环境保护局迁安市分局出具了</w:t>
            </w:r>
            <w:r>
              <w:rPr>
                <w:rFonts w:hint="eastAsia" w:ascii="Times New Roman" w:hAnsi="Times New Roman"/>
                <w:shadow w:val="0"/>
                <w:emboss w:val="0"/>
                <w:imprint w:val="0"/>
                <w:color w:val="auto"/>
                <w:sz w:val="24"/>
                <w:highlight w:val="none"/>
                <w:lang w:val="en-US" w:eastAsia="zh-CN"/>
              </w:rPr>
              <w:t>《</w:t>
            </w:r>
            <w:r>
              <w:rPr>
                <w:rFonts w:hint="eastAsia" w:ascii="Times New Roman" w:hAnsi="Times New Roman"/>
                <w:shadow w:val="0"/>
                <w:emboss w:val="0"/>
                <w:imprint w:val="0"/>
                <w:color w:val="auto"/>
                <w:sz w:val="24"/>
                <w:highlight w:val="none"/>
                <w:lang w:eastAsia="zh-CN"/>
              </w:rPr>
              <w:t>河北透平风机制造有限公司</w:t>
            </w:r>
            <w:r>
              <w:rPr>
                <w:rFonts w:hint="eastAsia" w:ascii="Times New Roman" w:hAnsi="Times New Roman"/>
                <w:shadow w:val="0"/>
                <w:emboss w:val="0"/>
                <w:imprint w:val="0"/>
                <w:color w:val="auto"/>
                <w:sz w:val="24"/>
                <w:highlight w:val="none"/>
                <w:lang w:val="en-US" w:eastAsia="zh-CN"/>
              </w:rPr>
              <w:t>激光熔覆修复及透平机配件生产项目》固体废物污染防治设施竣工环境保护验收的批复（迁环表验[2019]13号）。</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一、现有污染源情况</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color w:val="auto"/>
                <w:sz w:val="24"/>
                <w:highlight w:val="none"/>
                <w:lang w:eastAsia="zh-CN"/>
              </w:rPr>
            </w:pPr>
            <w:r>
              <w:rPr>
                <w:rFonts w:hint="eastAsia"/>
                <w:color w:val="auto"/>
                <w:sz w:val="24"/>
                <w:highlight w:val="none"/>
                <w:lang w:eastAsia="zh-CN"/>
              </w:rPr>
              <w:t>现有工程污染源情况参照现场踏勘及《河北透平风机制造有限公司</w:t>
            </w:r>
            <w:r>
              <w:rPr>
                <w:rFonts w:hint="eastAsia"/>
                <w:color w:val="auto"/>
                <w:sz w:val="24"/>
                <w:highlight w:val="none"/>
                <w:lang w:val="en-US" w:eastAsia="zh-CN"/>
              </w:rPr>
              <w:t>激光熔覆修复及透平机配件生产项目验收监测报告</w:t>
            </w:r>
            <w:r>
              <w:rPr>
                <w:rFonts w:hint="eastAsia"/>
                <w:color w:val="auto"/>
                <w:sz w:val="24"/>
                <w:highlight w:val="none"/>
                <w:lang w:eastAsia="zh-CN"/>
              </w:rPr>
              <w:t>》（河北德禹（</w:t>
            </w:r>
            <w:r>
              <w:rPr>
                <w:rFonts w:hint="eastAsia"/>
                <w:color w:val="auto"/>
                <w:sz w:val="24"/>
                <w:highlight w:val="none"/>
                <w:lang w:val="en-US" w:eastAsia="zh-CN"/>
              </w:rPr>
              <w:t>2018</w:t>
            </w:r>
            <w:r>
              <w:rPr>
                <w:rFonts w:hint="eastAsia"/>
                <w:color w:val="auto"/>
                <w:sz w:val="24"/>
                <w:highlight w:val="none"/>
                <w:lang w:eastAsia="zh-CN"/>
              </w:rPr>
              <w:t>）环检（验）第</w:t>
            </w:r>
            <w:r>
              <w:rPr>
                <w:rFonts w:hint="eastAsia"/>
                <w:color w:val="auto"/>
                <w:sz w:val="24"/>
                <w:highlight w:val="none"/>
                <w:lang w:val="en-US" w:eastAsia="zh-CN"/>
              </w:rPr>
              <w:t>1020号</w:t>
            </w:r>
            <w:r>
              <w:rPr>
                <w:rFonts w:hint="eastAsia"/>
                <w:color w:val="auto"/>
                <w:sz w:val="24"/>
                <w:highlight w:val="none"/>
                <w:lang w:eastAsia="zh-CN"/>
              </w:rPr>
              <w:t>）中监测数据，报告出具日期为</w:t>
            </w:r>
            <w:r>
              <w:rPr>
                <w:rFonts w:hint="eastAsia"/>
                <w:color w:val="auto"/>
                <w:sz w:val="24"/>
                <w:highlight w:val="none"/>
                <w:lang w:val="en-US" w:eastAsia="zh-CN"/>
              </w:rPr>
              <w:t>2018年12月13日</w:t>
            </w:r>
            <w:r>
              <w:rPr>
                <w:rFonts w:hint="eastAsia"/>
                <w:color w:val="auto"/>
                <w:sz w:val="24"/>
                <w:highlight w:val="none"/>
                <w:lang w:eastAsia="zh-CN"/>
              </w:rPr>
              <w:t>。</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（1）废气污染源及治理措施</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eastAsia="zh-CN"/>
              </w:rPr>
              <w:t>现有工程废气污染源主要为焊接烟尘，焊接在封闭厂房内进行，并设置</w:t>
            </w:r>
            <w:r>
              <w:rPr>
                <w:rFonts w:hint="eastAsia" w:cs="Times New Roman"/>
                <w:color w:val="auto"/>
                <w:sz w:val="24"/>
                <w:szCs w:val="24"/>
                <w:highlight w:val="none"/>
                <w:lang w:val="en-US" w:eastAsia="zh-CN"/>
              </w:rPr>
              <w:t>1台移动式焊接烟尘净化器收集焊接烟尘，处理后的焊接烟尘无组织排放。</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bCs/>
                <w:color w:val="auto"/>
                <w:sz w:val="24"/>
                <w:highlight w:val="none"/>
                <w:lang w:eastAsia="zh-CN"/>
              </w:rPr>
              <w:t>根据</w:t>
            </w:r>
            <w:r>
              <w:rPr>
                <w:rFonts w:hint="eastAsia"/>
                <w:color w:val="auto"/>
                <w:sz w:val="24"/>
                <w:highlight w:val="none"/>
                <w:lang w:eastAsia="zh-CN"/>
              </w:rPr>
              <w:t>《河北透平风机制造有限公司</w:t>
            </w:r>
            <w:r>
              <w:rPr>
                <w:rFonts w:hint="eastAsia"/>
                <w:color w:val="auto"/>
                <w:sz w:val="24"/>
                <w:highlight w:val="none"/>
                <w:lang w:val="en-US" w:eastAsia="zh-CN"/>
              </w:rPr>
              <w:t>激光熔覆修复及透平机配件生产项目验收监测报告</w:t>
            </w:r>
            <w:r>
              <w:rPr>
                <w:rFonts w:hint="eastAsia"/>
                <w:color w:val="auto"/>
                <w:sz w:val="24"/>
                <w:highlight w:val="none"/>
                <w:lang w:eastAsia="zh-CN"/>
              </w:rPr>
              <w:t>》（河北德禹（</w:t>
            </w:r>
            <w:r>
              <w:rPr>
                <w:rFonts w:hint="eastAsia"/>
                <w:color w:val="auto"/>
                <w:sz w:val="24"/>
                <w:highlight w:val="none"/>
                <w:lang w:val="en-US" w:eastAsia="zh-CN"/>
              </w:rPr>
              <w:t>2018</w:t>
            </w:r>
            <w:r>
              <w:rPr>
                <w:rFonts w:hint="eastAsia"/>
                <w:color w:val="auto"/>
                <w:sz w:val="24"/>
                <w:highlight w:val="none"/>
                <w:lang w:eastAsia="zh-CN"/>
              </w:rPr>
              <w:t>）环检（验）第</w:t>
            </w:r>
            <w:r>
              <w:rPr>
                <w:rFonts w:hint="eastAsia"/>
                <w:color w:val="auto"/>
                <w:sz w:val="24"/>
                <w:highlight w:val="none"/>
                <w:lang w:val="en-US" w:eastAsia="zh-CN"/>
              </w:rPr>
              <w:t>1020号</w:t>
            </w:r>
            <w:r>
              <w:rPr>
                <w:rFonts w:hint="eastAsia"/>
                <w:color w:val="auto"/>
                <w:sz w:val="24"/>
                <w:highlight w:val="none"/>
                <w:lang w:eastAsia="zh-CN"/>
              </w:rPr>
              <w:t>）中监测数据</w:t>
            </w:r>
            <w:r>
              <w:rPr>
                <w:rFonts w:hint="eastAsia" w:cs="Times New Roman"/>
                <w:bCs/>
                <w:color w:val="auto"/>
                <w:sz w:val="24"/>
                <w:highlight w:val="none"/>
                <w:lang w:eastAsia="zh-CN"/>
              </w:rPr>
              <w:t>可知：厂界无组织颗粒物监控点最大值</w:t>
            </w:r>
            <w:r>
              <w:rPr>
                <w:rFonts w:hint="eastAsia" w:cs="Times New Roman"/>
                <w:bCs/>
                <w:color w:val="auto"/>
                <w:sz w:val="24"/>
                <w:highlight w:val="none"/>
                <w:lang w:val="en-US" w:eastAsia="zh-CN"/>
              </w:rPr>
              <w:t>0.516mg/m</w:t>
            </w:r>
            <w:r>
              <w:rPr>
                <w:rFonts w:hint="eastAsia" w:cs="Times New Roman"/>
                <w:bCs/>
                <w:color w:val="auto"/>
                <w:sz w:val="24"/>
                <w:highlight w:val="none"/>
                <w:vertAlign w:val="superscript"/>
                <w:lang w:val="en-US" w:eastAsia="zh-CN"/>
              </w:rPr>
              <w:t>3</w:t>
            </w:r>
            <w:r>
              <w:rPr>
                <w:rFonts w:hint="eastAsia" w:cs="Times New Roman"/>
                <w:bCs/>
                <w:color w:val="auto"/>
                <w:sz w:val="24"/>
                <w:highlight w:val="none"/>
                <w:lang w:val="en-US" w:eastAsia="zh-CN"/>
              </w:rPr>
              <w:t>，满足</w:t>
            </w:r>
            <w:r>
              <w:rPr>
                <w:color w:val="auto"/>
                <w:sz w:val="24"/>
                <w:highlight w:val="none"/>
              </w:rPr>
              <w:t>《大气污染物综合排放标准》（GB16297-1996）</w:t>
            </w:r>
            <w:r>
              <w:rPr>
                <w:rFonts w:hint="eastAsia"/>
                <w:color w:val="auto"/>
                <w:sz w:val="24"/>
                <w:highlight w:val="none"/>
              </w:rPr>
              <w:t>表2</w:t>
            </w:r>
            <w:r>
              <w:rPr>
                <w:color w:val="auto"/>
                <w:sz w:val="24"/>
                <w:highlight w:val="none"/>
              </w:rPr>
              <w:t>无组织排放监控浓度限值（1.0mg/m</w:t>
            </w:r>
            <w:r>
              <w:rPr>
                <w:color w:val="auto"/>
                <w:sz w:val="24"/>
                <w:highlight w:val="none"/>
                <w:vertAlign w:val="superscript"/>
              </w:rPr>
              <w:t>3</w:t>
            </w:r>
            <w:r>
              <w:rPr>
                <w:color w:val="auto"/>
                <w:sz w:val="24"/>
                <w:highlight w:val="none"/>
              </w:rPr>
              <w:t>）</w:t>
            </w:r>
            <w:r>
              <w:rPr>
                <w:rFonts w:hint="eastAsia"/>
                <w:color w:val="auto"/>
                <w:sz w:val="24"/>
                <w:highlight w:val="none"/>
                <w:lang w:eastAsia="zh-CN"/>
              </w:rPr>
              <w:t>要求。</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eastAsia="zh-CN"/>
              </w:rPr>
              <w:t>根据实际踏勘可知，项目厂区设置</w:t>
            </w:r>
            <w:r>
              <w:rPr>
                <w:rFonts w:hint="eastAsia" w:cs="Times New Roman"/>
                <w:color w:val="auto"/>
                <w:sz w:val="24"/>
                <w:szCs w:val="24"/>
                <w:highlight w:val="none"/>
                <w:lang w:val="en-US" w:eastAsia="zh-CN"/>
              </w:rPr>
              <w:t>1台移动式焊接烟尘净化器。</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default" w:ascii="Times New Roman" w:hAnsi="Times New Roman" w:cs="Times New Roman"/>
                <w:color w:val="auto"/>
                <w:spacing w:val="4"/>
                <w:kern w:val="0"/>
                <w:sz w:val="24"/>
                <w:szCs w:val="24"/>
                <w:highlight w:val="none"/>
              </w:rPr>
            </w:pPr>
            <w:r>
              <w:rPr>
                <w:rFonts w:hint="default" w:ascii="Times New Roman" w:hAnsi="Times New Roman" w:cs="Times New Roman"/>
                <w:color w:val="auto"/>
                <w:sz w:val="24"/>
                <w:szCs w:val="24"/>
                <w:highlight w:val="none"/>
              </w:rPr>
              <w:t>（2）废水污染源及治理措施</w:t>
            </w:r>
          </w:p>
          <w:p>
            <w:pPr>
              <w:pStyle w:val="27"/>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textAlignment w:val="auto"/>
              <w:rPr>
                <w:rFonts w:ascii="Times New Roman" w:hAnsi="Times New Roman"/>
                <w:color w:val="auto"/>
                <w:highlight w:val="none"/>
              </w:rPr>
            </w:pPr>
            <w:r>
              <w:rPr>
                <w:rFonts w:hint="default" w:ascii="Times New Roman" w:hAnsi="Times New Roman" w:cs="Times New Roman"/>
                <w:color w:val="auto"/>
                <w:sz w:val="24"/>
                <w:szCs w:val="24"/>
                <w:highlight w:val="none"/>
                <w:lang w:eastAsia="zh-CN"/>
              </w:rPr>
              <w:t>现有工程生产</w:t>
            </w:r>
            <w:r>
              <w:rPr>
                <w:rFonts w:hint="eastAsia" w:cs="Times New Roman"/>
                <w:color w:val="auto"/>
                <w:sz w:val="24"/>
                <w:szCs w:val="24"/>
                <w:highlight w:val="none"/>
                <w:lang w:eastAsia="zh-CN"/>
              </w:rPr>
              <w:t>用水主要为切削液配置用水，废切削液作为危险废物处理，不外排，现有工程无生产废水外排；</w:t>
            </w:r>
            <w:r>
              <w:rPr>
                <w:rFonts w:ascii="Times New Roman" w:hAnsi="Times New Roman"/>
                <w:color w:val="auto"/>
                <w:highlight w:val="none"/>
              </w:rPr>
              <w:t>生活污水排入河北迁安经济开发区污水管网，</w:t>
            </w:r>
            <w:r>
              <w:rPr>
                <w:rFonts w:hint="eastAsia" w:ascii="Times New Roman" w:hAnsi="Times New Roman"/>
                <w:color w:val="auto"/>
                <w:highlight w:val="none"/>
                <w:lang w:eastAsia="zh-CN"/>
              </w:rPr>
              <w:t>监测期间，废水排放口</w:t>
            </w:r>
            <w:r>
              <w:rPr>
                <w:rFonts w:hint="eastAsia" w:ascii="Times New Roman" w:hAnsi="Times New Roman"/>
                <w:color w:val="auto"/>
                <w:highlight w:val="none"/>
                <w:lang w:val="en-US" w:eastAsia="zh-CN"/>
              </w:rPr>
              <w:t>SS最大排放浓度为35mg/L，COD最大排放浓度为40mg/L，BOD</w:t>
            </w:r>
            <w:r>
              <w:rPr>
                <w:rFonts w:hint="eastAsia" w:ascii="Times New Roman" w:hAnsi="Times New Roman"/>
                <w:color w:val="auto"/>
                <w:highlight w:val="none"/>
                <w:vertAlign w:val="subscript"/>
                <w:lang w:val="en-US" w:eastAsia="zh-CN"/>
              </w:rPr>
              <w:t>5</w:t>
            </w:r>
            <w:r>
              <w:rPr>
                <w:rFonts w:hint="eastAsia" w:ascii="Times New Roman" w:hAnsi="Times New Roman"/>
                <w:color w:val="auto"/>
                <w:highlight w:val="none"/>
                <w:lang w:val="en-US" w:eastAsia="zh-CN"/>
              </w:rPr>
              <w:t>最大排放浓度为12.6mg/L，氨氮最大排放浓度为0.905mg/L，监测结果均满足要求后，排入</w:t>
            </w:r>
            <w:r>
              <w:rPr>
                <w:rFonts w:ascii="Times New Roman" w:hAnsi="Times New Roman"/>
                <w:color w:val="auto"/>
                <w:highlight w:val="none"/>
              </w:rPr>
              <w:t>迁安市大西区建设开发有限公司污水处理厂处理。</w:t>
            </w:r>
          </w:p>
          <w:p>
            <w:pPr>
              <w:pStyle w:val="22"/>
              <w:keepNext w:val="0"/>
              <w:keepLines w:val="0"/>
              <w:pageBreakBefore w:val="0"/>
              <w:widowControl w:val="0"/>
              <w:kinsoku/>
              <w:wordWrap/>
              <w:overflowPunct/>
              <w:topLinePunct w:val="0"/>
              <w:autoSpaceDE/>
              <w:autoSpaceDN/>
              <w:bidi w:val="0"/>
              <w:spacing w:line="460" w:lineRule="exact"/>
              <w:ind w:left="0" w:right="0" w:firstLine="496" w:firstLineChars="200"/>
              <w:textAlignment w:val="auto"/>
              <w:rPr>
                <w:rFonts w:hint="default" w:ascii="Times New Roman" w:hAnsi="Times New Roman" w:cs="Times New Roman"/>
                <w:color w:val="auto"/>
                <w:spacing w:val="4"/>
                <w:kern w:val="0"/>
                <w:sz w:val="24"/>
                <w:szCs w:val="24"/>
                <w:highlight w:val="none"/>
              </w:rPr>
            </w:pPr>
            <w:r>
              <w:rPr>
                <w:rFonts w:hint="default" w:ascii="Times New Roman" w:hAnsi="Times New Roman" w:cs="Times New Roman"/>
                <w:color w:val="auto"/>
                <w:spacing w:val="4"/>
                <w:kern w:val="0"/>
                <w:sz w:val="24"/>
                <w:szCs w:val="24"/>
                <w:highlight w:val="none"/>
              </w:rPr>
              <w:t>（3）噪声</w:t>
            </w:r>
            <w:r>
              <w:rPr>
                <w:rFonts w:hint="default" w:ascii="Times New Roman" w:hAnsi="Times New Roman" w:cs="Times New Roman"/>
                <w:color w:val="auto"/>
                <w:sz w:val="24"/>
                <w:szCs w:val="24"/>
                <w:highlight w:val="none"/>
              </w:rPr>
              <w:t>污染源及治理措施</w:t>
            </w:r>
          </w:p>
          <w:p>
            <w:pPr>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color w:val="auto"/>
                <w:sz w:val="24"/>
                <w:szCs w:val="24"/>
                <w:highlight w:val="none"/>
                <w:lang w:eastAsia="zh-CN"/>
              </w:rPr>
              <w:t>现有工程噪声源主要</w:t>
            </w:r>
            <w:r>
              <w:rPr>
                <w:rFonts w:hint="eastAsia" w:cs="Times New Roman"/>
                <w:color w:val="auto"/>
                <w:sz w:val="24"/>
                <w:szCs w:val="24"/>
                <w:highlight w:val="none"/>
                <w:lang w:eastAsia="zh-CN"/>
              </w:rPr>
              <w:t>为加工中心、车床</w:t>
            </w:r>
            <w:r>
              <w:rPr>
                <w:rFonts w:hint="default" w:ascii="Times New Roman" w:hAnsi="Times New Roman" w:cs="Times New Roman"/>
                <w:color w:val="auto"/>
                <w:sz w:val="24"/>
                <w:szCs w:val="24"/>
                <w:highlight w:val="none"/>
                <w:lang w:eastAsia="zh-CN"/>
              </w:rPr>
              <w:t>等生产设备，设备置于生产车间内，采用基础减振、厂房隔声等措施。</w:t>
            </w:r>
            <w:r>
              <w:rPr>
                <w:rFonts w:hint="default" w:ascii="Times New Roman" w:hAnsi="Times New Roman" w:cs="Times New Roman"/>
                <w:b w:val="0"/>
                <w:bCs w:val="0"/>
                <w:color w:val="auto"/>
                <w:sz w:val="24"/>
                <w:szCs w:val="24"/>
                <w:highlight w:val="none"/>
                <w:lang w:val="en-US" w:eastAsia="zh-CN"/>
              </w:rPr>
              <w:t>根据</w:t>
            </w:r>
            <w:r>
              <w:rPr>
                <w:rFonts w:hint="eastAsia"/>
                <w:color w:val="auto"/>
                <w:sz w:val="24"/>
                <w:highlight w:val="none"/>
                <w:lang w:eastAsia="zh-CN"/>
              </w:rPr>
              <w:t>《河北透平风机制造有限公司</w:t>
            </w:r>
            <w:r>
              <w:rPr>
                <w:rFonts w:hint="eastAsia"/>
                <w:color w:val="auto"/>
                <w:sz w:val="24"/>
                <w:highlight w:val="none"/>
                <w:lang w:val="en-US" w:eastAsia="zh-CN"/>
              </w:rPr>
              <w:t>激光熔覆修复及透平机配件生产项目验收监测报告</w:t>
            </w:r>
            <w:r>
              <w:rPr>
                <w:rFonts w:hint="eastAsia"/>
                <w:color w:val="auto"/>
                <w:sz w:val="24"/>
                <w:highlight w:val="none"/>
                <w:lang w:eastAsia="zh-CN"/>
              </w:rPr>
              <w:t>》（河北德禹（2018）环检（验）第1020号）中监测数据</w:t>
            </w:r>
            <w:r>
              <w:rPr>
                <w:rFonts w:hint="eastAsia" w:cs="Times New Roman"/>
                <w:bCs/>
                <w:color w:val="auto"/>
                <w:sz w:val="24"/>
                <w:highlight w:val="none"/>
                <w:lang w:eastAsia="zh-CN"/>
              </w:rPr>
              <w:t>可知，</w:t>
            </w:r>
            <w:r>
              <w:rPr>
                <w:rFonts w:hint="default" w:ascii="Times New Roman" w:hAnsi="Times New Roman" w:cs="Times New Roman"/>
                <w:color w:val="auto"/>
                <w:sz w:val="24"/>
                <w:szCs w:val="24"/>
                <w:highlight w:val="none"/>
              </w:rPr>
              <w:t>厂界噪声昼间值为</w:t>
            </w:r>
            <w:r>
              <w:rPr>
                <w:rFonts w:hint="eastAsia" w:cs="Times New Roman"/>
                <w:color w:val="auto"/>
                <w:sz w:val="24"/>
                <w:szCs w:val="24"/>
                <w:highlight w:val="none"/>
                <w:lang w:val="en-US" w:eastAsia="zh-CN"/>
              </w:rPr>
              <w:t>61.5-61.7</w:t>
            </w:r>
            <w:r>
              <w:rPr>
                <w:rFonts w:hint="default" w:ascii="Times New Roman" w:hAnsi="Times New Roman" w:cs="Times New Roman"/>
                <w:color w:val="auto"/>
                <w:sz w:val="24"/>
                <w:szCs w:val="24"/>
                <w:highlight w:val="none"/>
              </w:rPr>
              <w:t>dB(A)，符合《工业企业厂界环境噪声排放标准》(GB12348-2008)</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类标准(昼间≤6</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dB(A)</w:t>
            </w:r>
            <w:r>
              <w:rPr>
                <w:rFonts w:hint="default" w:ascii="Times New Roman" w:hAnsi="Times New Roman" w:cs="Times New Roman"/>
                <w:color w:val="auto"/>
                <w:sz w:val="24"/>
                <w:szCs w:val="24"/>
                <w:highlight w:val="none"/>
                <w:lang w:eastAsia="zh-CN"/>
              </w:rPr>
              <w:t>要求。</w:t>
            </w:r>
          </w:p>
          <w:p>
            <w:pPr>
              <w:pStyle w:val="22"/>
              <w:keepNext w:val="0"/>
              <w:keepLines w:val="0"/>
              <w:pageBreakBefore w:val="0"/>
              <w:widowControl w:val="0"/>
              <w:kinsoku/>
              <w:wordWrap/>
              <w:overflowPunct/>
              <w:topLinePunct w:val="0"/>
              <w:autoSpaceDE/>
              <w:autoSpaceDN/>
              <w:bidi w:val="0"/>
              <w:spacing w:line="360" w:lineRule="auto"/>
              <w:ind w:left="0" w:right="0" w:firstLine="496" w:firstLineChars="200"/>
              <w:textAlignment w:val="auto"/>
              <w:rPr>
                <w:rFonts w:hint="default" w:ascii="Times New Roman" w:hAnsi="Times New Roman" w:cs="Times New Roman"/>
                <w:color w:val="auto"/>
                <w:spacing w:val="4"/>
                <w:kern w:val="0"/>
                <w:sz w:val="24"/>
                <w:szCs w:val="24"/>
                <w:highlight w:val="none"/>
                <w:lang w:eastAsia="zh-CN"/>
              </w:rPr>
            </w:pPr>
            <w:r>
              <w:rPr>
                <w:rFonts w:hint="default" w:ascii="Times New Roman" w:hAnsi="Times New Roman" w:cs="Times New Roman"/>
                <w:color w:val="auto"/>
                <w:spacing w:val="4"/>
                <w:kern w:val="0"/>
                <w:sz w:val="24"/>
                <w:szCs w:val="24"/>
                <w:highlight w:val="none"/>
                <w:lang w:eastAsia="zh-CN"/>
              </w:rPr>
              <w:t>（4）固体废物污染源及治理措施</w:t>
            </w:r>
          </w:p>
          <w:p>
            <w:pPr>
              <w:pStyle w:val="52"/>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ascii="Times New Roman" w:hAnsi="Times New Roman"/>
                <w:color w:val="auto"/>
                <w:highlight w:val="none"/>
              </w:rPr>
            </w:pPr>
            <w:r>
              <w:rPr>
                <w:rFonts w:hint="default" w:ascii="Times New Roman" w:hAnsi="Times New Roman" w:cs="Times New Roman"/>
                <w:color w:val="auto"/>
                <w:sz w:val="24"/>
                <w:szCs w:val="24"/>
                <w:highlight w:val="none"/>
                <w:lang w:eastAsia="zh-CN"/>
              </w:rPr>
              <w:t>现有工程固体废物</w:t>
            </w:r>
            <w:r>
              <w:rPr>
                <w:rFonts w:ascii="Times New Roman" w:hAnsi="Times New Roman"/>
                <w:color w:val="auto"/>
                <w:highlight w:val="none"/>
              </w:rPr>
              <w:t>包括生活垃圾、机加工过程产生的废钢边角料及碎屑</w:t>
            </w:r>
            <w:r>
              <w:rPr>
                <w:rFonts w:hint="eastAsia" w:ascii="Times New Roman" w:hAnsi="Times New Roman"/>
                <w:color w:val="auto"/>
                <w:highlight w:val="none"/>
                <w:lang w:eastAsia="zh-CN"/>
              </w:rPr>
              <w:t>；</w:t>
            </w:r>
            <w:r>
              <w:rPr>
                <w:rFonts w:hint="eastAsia"/>
                <w:color w:val="auto"/>
                <w:highlight w:val="none"/>
                <w:lang w:eastAsia="zh-CN"/>
              </w:rPr>
              <w:t>废润滑油</w:t>
            </w:r>
            <w:r>
              <w:rPr>
                <w:rFonts w:ascii="Times New Roman" w:hAnsi="Times New Roman"/>
                <w:color w:val="auto"/>
                <w:highlight w:val="none"/>
              </w:rPr>
              <w:t>、废切削液及</w:t>
            </w:r>
            <w:r>
              <w:rPr>
                <w:rFonts w:hint="eastAsia"/>
                <w:color w:val="auto"/>
                <w:highlight w:val="none"/>
                <w:lang w:eastAsia="zh-CN"/>
              </w:rPr>
              <w:t>废包装桶</w:t>
            </w:r>
            <w:r>
              <w:rPr>
                <w:rFonts w:ascii="Times New Roman" w:hAnsi="Times New Roman"/>
                <w:color w:val="auto"/>
                <w:highlight w:val="none"/>
              </w:rPr>
              <w:t>。</w:t>
            </w:r>
          </w:p>
          <w:p>
            <w:pPr>
              <w:pStyle w:val="27"/>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Times New Roman" w:hAnsi="Times New Roman" w:eastAsia="宋体"/>
                <w:color w:val="auto"/>
                <w:highlight w:val="none"/>
                <w:lang w:eastAsia="zh-CN"/>
              </w:rPr>
            </w:pPr>
            <w:r>
              <w:rPr>
                <w:rFonts w:ascii="Times New Roman" w:hAnsi="Times New Roman"/>
                <w:color w:val="auto"/>
                <w:highlight w:val="none"/>
              </w:rPr>
              <w:t>生活垃圾收集后交环卫部门处置</w:t>
            </w:r>
            <w:r>
              <w:rPr>
                <w:rFonts w:hint="eastAsia" w:ascii="Times New Roman" w:hAnsi="Times New Roman"/>
                <w:color w:val="auto"/>
                <w:highlight w:val="none"/>
                <w:lang w:eastAsia="zh-CN"/>
              </w:rPr>
              <w:t>；</w:t>
            </w:r>
            <w:r>
              <w:rPr>
                <w:rFonts w:ascii="Times New Roman" w:hAnsi="Times New Roman"/>
                <w:color w:val="auto"/>
                <w:highlight w:val="none"/>
              </w:rPr>
              <w:t>机加工过程产生的废钢边角料收集后外售</w:t>
            </w:r>
            <w:r>
              <w:rPr>
                <w:rFonts w:hint="eastAsia" w:ascii="Times New Roman" w:hAnsi="Times New Roman"/>
                <w:color w:val="auto"/>
                <w:highlight w:val="none"/>
                <w:lang w:eastAsia="zh-CN"/>
              </w:rPr>
              <w:t>；碎屑分离废油后外售；废润滑油、废液压油、废包装桶暂存于危废暂存间后，定期交由有资质的单位处理；</w:t>
            </w:r>
            <w:r>
              <w:rPr>
                <w:rFonts w:hint="default" w:ascii="Times New Roman" w:hAnsi="Times New Roman"/>
                <w:color w:val="auto"/>
                <w:highlight w:val="none"/>
                <w:lang w:eastAsia="zh-CN"/>
              </w:rPr>
              <w:t>生活垃圾环卫部门统一处理</w:t>
            </w:r>
            <w:r>
              <w:rPr>
                <w:rFonts w:hint="eastAsia" w:ascii="Times New Roman" w:hAnsi="Times New Roman"/>
                <w:color w:val="auto"/>
                <w:highlight w:val="none"/>
                <w:lang w:eastAsia="zh-CN"/>
              </w:rPr>
              <w:t>；</w:t>
            </w:r>
            <w:r>
              <w:rPr>
                <w:rFonts w:ascii="Times New Roman" w:hAnsi="Times New Roman"/>
                <w:color w:val="auto"/>
                <w:highlight w:val="none"/>
              </w:rPr>
              <w:t>建设单位已与迁安市志诚润滑油有限公司签订处置合同</w:t>
            </w:r>
            <w:r>
              <w:rPr>
                <w:rFonts w:hint="eastAsia" w:ascii="Times New Roman" w:hAnsi="Times New Roman"/>
                <w:color w:val="auto"/>
                <w:highlight w:val="none"/>
                <w:lang w:eastAsia="zh-CN"/>
              </w:rPr>
              <w:t>。</w:t>
            </w:r>
          </w:p>
          <w:p>
            <w:pPr>
              <w:pStyle w:val="5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二、现有工程存在的环境问题</w:t>
            </w:r>
          </w:p>
          <w:p>
            <w:pPr>
              <w:pStyle w:val="52"/>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根据现场踏勘及现行环保要求，现有工程存在以下环保问题：</w:t>
            </w:r>
          </w:p>
          <w:p>
            <w:pPr>
              <w:pStyle w:val="52"/>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right="0" w:firstLine="480" w:firstLineChars="200"/>
              <w:textAlignment w:val="auto"/>
              <w:rPr>
                <w:rFonts w:hint="eastAsia" w:ascii="Times New Roman" w:hAnsi="Times New Roman" w:cs="Times New Roman"/>
                <w:color w:val="auto"/>
                <w:sz w:val="24"/>
                <w:szCs w:val="24"/>
                <w:highlight w:val="none"/>
                <w:lang w:eastAsia="zh-CN"/>
              </w:rPr>
            </w:pPr>
            <w:r>
              <w:rPr>
                <w:rFonts w:hint="eastAsia" w:cs="Times New Roman"/>
                <w:color w:val="auto"/>
                <w:sz w:val="24"/>
                <w:szCs w:val="24"/>
                <w:highlight w:val="none"/>
                <w:lang w:eastAsia="zh-CN"/>
              </w:rPr>
              <w:t>企业未办理排污许可手续</w:t>
            </w:r>
            <w:r>
              <w:rPr>
                <w:rFonts w:hint="eastAsia" w:ascii="Times New Roman" w:hAnsi="Times New Roman" w:cs="Times New Roman"/>
                <w:color w:val="auto"/>
                <w:sz w:val="24"/>
                <w:szCs w:val="24"/>
                <w:highlight w:val="none"/>
                <w:lang w:eastAsia="zh-CN"/>
              </w:rPr>
              <w:t>；</w:t>
            </w:r>
            <w:r>
              <w:rPr>
                <w:rFonts w:hint="eastAsia" w:cs="Times New Roman"/>
                <w:color w:val="auto"/>
                <w:sz w:val="24"/>
                <w:szCs w:val="24"/>
                <w:highlight w:val="none"/>
                <w:lang w:eastAsia="zh-CN"/>
              </w:rPr>
              <w:t>未严格落实监测计划。</w:t>
            </w:r>
          </w:p>
          <w:p>
            <w:pPr>
              <w:pStyle w:val="52"/>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right="0" w:firstLine="480" w:firstLineChars="200"/>
              <w:textAlignment w:val="auto"/>
              <w:rPr>
                <w:rFonts w:hint="eastAsia" w:ascii="Times New Roman" w:hAnsi="Times New Roman" w:eastAsia="宋体"/>
                <w:caps w:val="0"/>
                <w:smallCaps w:val="0"/>
                <w:color w:val="auto"/>
                <w:w w:val="100"/>
                <w:sz w:val="24"/>
                <w:szCs w:val="24"/>
                <w:highlight w:val="none"/>
              </w:rPr>
            </w:pPr>
            <w:r>
              <w:rPr>
                <w:rFonts w:hint="eastAsia" w:cs="Times New Roman"/>
                <w:color w:val="auto"/>
                <w:sz w:val="24"/>
                <w:szCs w:val="24"/>
                <w:highlight w:val="none"/>
                <w:lang w:eastAsia="zh-CN"/>
              </w:rPr>
              <w:t>含油金属屑未进行分离；</w:t>
            </w:r>
          </w:p>
          <w:p>
            <w:pPr>
              <w:pStyle w:val="52"/>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right="0" w:firstLine="480" w:firstLineChars="200"/>
              <w:textAlignment w:val="auto"/>
              <w:rPr>
                <w:rFonts w:hint="eastAsia" w:ascii="Times New Roman" w:hAnsi="Times New Roman" w:cs="Times New Roman"/>
                <w:color w:val="auto"/>
                <w:sz w:val="24"/>
                <w:szCs w:val="24"/>
                <w:highlight w:val="none"/>
                <w:lang w:eastAsia="zh-CN"/>
              </w:rPr>
            </w:pPr>
            <w:r>
              <w:rPr>
                <w:rFonts w:hint="eastAsia" w:cs="Times New Roman"/>
                <w:color w:val="auto"/>
                <w:sz w:val="24"/>
                <w:szCs w:val="24"/>
                <w:highlight w:val="none"/>
                <w:lang w:eastAsia="zh-CN"/>
              </w:rPr>
              <w:t>现有危废暂存间</w:t>
            </w:r>
            <w:r>
              <w:rPr>
                <w:rFonts w:hint="eastAsia" w:ascii="Times New Roman" w:hAnsi="Times New Roman" w:eastAsia="宋体"/>
                <w:caps w:val="0"/>
                <w:smallCaps w:val="0"/>
                <w:color w:val="auto"/>
                <w:w w:val="100"/>
                <w:sz w:val="24"/>
                <w:szCs w:val="24"/>
                <w:highlight w:val="none"/>
              </w:rPr>
              <w:t>地面及储存间裙角</w:t>
            </w:r>
            <w:r>
              <w:rPr>
                <w:rFonts w:hint="eastAsia" w:cs="Times New Roman"/>
                <w:color w:val="auto"/>
                <w:sz w:val="24"/>
                <w:szCs w:val="24"/>
                <w:highlight w:val="none"/>
                <w:lang w:eastAsia="zh-CN"/>
              </w:rPr>
              <w:t>已经按照</w:t>
            </w:r>
            <w:r>
              <w:rPr>
                <w:rFonts w:hint="eastAsia" w:ascii="Times New Roman" w:hAnsi="Times New Roman" w:eastAsia="宋体"/>
                <w:caps w:val="0"/>
                <w:smallCaps w:val="0"/>
                <w:color w:val="auto"/>
                <w:w w:val="100"/>
                <w:sz w:val="24"/>
                <w:szCs w:val="24"/>
                <w:highlight w:val="none"/>
              </w:rPr>
              <w:t>《危险废物贮存污染控制标准》（GB 18597-2001）及2013年修改单（公告2013年第36号）采</w:t>
            </w:r>
            <w:r>
              <w:rPr>
                <w:rFonts w:hint="eastAsia"/>
                <w:caps w:val="0"/>
                <w:smallCaps w:val="0"/>
                <w:color w:val="auto"/>
                <w:w w:val="100"/>
                <w:sz w:val="24"/>
                <w:szCs w:val="24"/>
                <w:highlight w:val="none"/>
                <w:lang w:eastAsia="zh-CN"/>
              </w:rPr>
              <w:t>取</w:t>
            </w:r>
            <w:r>
              <w:rPr>
                <w:rFonts w:hint="eastAsia" w:ascii="Times New Roman" w:hAnsi="Times New Roman" w:eastAsia="宋体"/>
                <w:caps w:val="0"/>
                <w:smallCaps w:val="0"/>
                <w:color w:val="auto"/>
                <w:w w:val="100"/>
                <w:sz w:val="24"/>
                <w:szCs w:val="24"/>
                <w:highlight w:val="none"/>
              </w:rPr>
              <w:t>防渗处理，</w:t>
            </w:r>
            <w:r>
              <w:rPr>
                <w:rFonts w:hint="eastAsia" w:ascii="Times New Roman" w:hAnsi="Times New Roman" w:eastAsia="宋体"/>
                <w:caps w:val="0"/>
                <w:smallCaps w:val="0"/>
                <w:color w:val="auto"/>
                <w:w w:val="100"/>
                <w:sz w:val="24"/>
                <w:szCs w:val="24"/>
                <w:highlight w:val="none"/>
                <w:lang w:eastAsia="zh-CN"/>
              </w:rPr>
              <w:t>渗透系数</w:t>
            </w:r>
            <w:r>
              <w:rPr>
                <w:rFonts w:hint="eastAsia" w:ascii="Times New Roman" w:hAnsi="Times New Roman" w:eastAsia="宋体"/>
                <w:caps w:val="0"/>
                <w:smallCaps w:val="0"/>
                <w:color w:val="auto"/>
                <w:w w:val="100"/>
                <w:sz w:val="24"/>
                <w:szCs w:val="24"/>
                <w:highlight w:val="none"/>
              </w:rPr>
              <w:t>小于1×10</w:t>
            </w:r>
            <w:r>
              <w:rPr>
                <w:rFonts w:hint="eastAsia" w:ascii="Times New Roman" w:hAnsi="Times New Roman" w:eastAsia="宋体"/>
                <w:caps w:val="0"/>
                <w:smallCaps w:val="0"/>
                <w:color w:val="auto"/>
                <w:w w:val="100"/>
                <w:sz w:val="24"/>
                <w:szCs w:val="24"/>
                <w:highlight w:val="none"/>
                <w:vertAlign w:val="superscript"/>
              </w:rPr>
              <w:t>-10</w:t>
            </w:r>
            <w:r>
              <w:rPr>
                <w:rFonts w:hint="eastAsia" w:ascii="Times New Roman" w:hAnsi="Times New Roman" w:eastAsia="宋体"/>
                <w:caps w:val="0"/>
                <w:smallCaps w:val="0"/>
                <w:color w:val="auto"/>
                <w:w w:val="100"/>
                <w:sz w:val="24"/>
                <w:szCs w:val="24"/>
                <w:highlight w:val="none"/>
              </w:rPr>
              <w:t>cm/s</w:t>
            </w:r>
            <w:r>
              <w:rPr>
                <w:rFonts w:hint="eastAsia"/>
                <w:caps w:val="0"/>
                <w:smallCaps w:val="0"/>
                <w:color w:val="auto"/>
                <w:w w:val="100"/>
                <w:sz w:val="24"/>
                <w:szCs w:val="24"/>
                <w:highlight w:val="none"/>
                <w:lang w:eastAsia="zh-CN"/>
              </w:rPr>
              <w:t>；但危废暂存间四面墙体均采用彩钢板，不能达到</w:t>
            </w:r>
            <w:r>
              <w:rPr>
                <w:rFonts w:hint="eastAsia" w:ascii="Times New Roman" w:hAnsi="Times New Roman"/>
                <w:color w:val="auto"/>
                <w:w w:val="100"/>
                <w:sz w:val="24"/>
                <w:szCs w:val="24"/>
                <w:highlight w:val="none"/>
              </w:rPr>
              <w:t>防风、防雨、防晒</w:t>
            </w:r>
            <w:r>
              <w:rPr>
                <w:rFonts w:hint="eastAsia"/>
                <w:color w:val="auto"/>
                <w:w w:val="100"/>
                <w:sz w:val="24"/>
                <w:szCs w:val="24"/>
                <w:highlight w:val="none"/>
                <w:lang w:eastAsia="zh-CN"/>
              </w:rPr>
              <w:t>要求</w:t>
            </w:r>
            <w:r>
              <w:rPr>
                <w:rFonts w:hint="eastAsia" w:ascii="Times New Roman" w:hAnsi="Times New Roman" w:eastAsia="宋体"/>
                <w:caps w:val="0"/>
                <w:smallCaps w:val="0"/>
                <w:color w:val="auto"/>
                <w:w w:val="100"/>
                <w:sz w:val="24"/>
                <w:szCs w:val="24"/>
                <w:highlight w:val="none"/>
              </w:rPr>
              <w:t>。</w:t>
            </w:r>
          </w:p>
          <w:p>
            <w:pPr>
              <w:pStyle w:val="52"/>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三、整改方案</w:t>
            </w:r>
          </w:p>
          <w:p>
            <w:pPr>
              <w:pStyle w:val="5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1、及时</w:t>
            </w:r>
            <w:r>
              <w:rPr>
                <w:rFonts w:hint="eastAsia" w:cs="Times New Roman"/>
                <w:color w:val="auto"/>
                <w:sz w:val="24"/>
                <w:szCs w:val="24"/>
                <w:highlight w:val="none"/>
                <w:lang w:eastAsia="zh-CN"/>
              </w:rPr>
              <w:t>办理排污许可手续</w:t>
            </w:r>
            <w:r>
              <w:rPr>
                <w:rFonts w:hint="eastAsia" w:ascii="Times New Roman" w:hAnsi="Times New Roman" w:cs="Times New Roman"/>
                <w:color w:val="auto"/>
                <w:sz w:val="24"/>
                <w:szCs w:val="24"/>
                <w:highlight w:val="none"/>
                <w:lang w:eastAsia="zh-CN"/>
              </w:rPr>
              <w:t>；</w:t>
            </w:r>
            <w:r>
              <w:rPr>
                <w:rFonts w:hint="eastAsia" w:cs="Times New Roman"/>
                <w:color w:val="auto"/>
                <w:sz w:val="24"/>
                <w:szCs w:val="24"/>
                <w:highlight w:val="none"/>
                <w:lang w:eastAsia="zh-CN"/>
              </w:rPr>
              <w:t>严格按照监测计划进行监测。</w:t>
            </w:r>
          </w:p>
          <w:p>
            <w:pPr>
              <w:pStyle w:val="52"/>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cs="Times New Roman"/>
                <w:color w:val="auto"/>
                <w:sz w:val="24"/>
                <w:szCs w:val="24"/>
                <w:highlight w:val="none"/>
                <w:lang w:eastAsia="zh-CN"/>
              </w:rPr>
            </w:pPr>
            <w:r>
              <w:rPr>
                <w:rFonts w:hint="eastAsia" w:cs="Times New Roman"/>
                <w:color w:val="auto"/>
                <w:sz w:val="24"/>
                <w:szCs w:val="24"/>
                <w:highlight w:val="none"/>
                <w:lang w:val="en-US" w:eastAsia="zh-CN"/>
              </w:rPr>
              <w:t>2、设置1台离心机，对</w:t>
            </w:r>
            <w:r>
              <w:rPr>
                <w:rFonts w:hint="eastAsia" w:cs="Times New Roman"/>
                <w:color w:val="auto"/>
                <w:sz w:val="24"/>
                <w:szCs w:val="24"/>
                <w:highlight w:val="none"/>
                <w:lang w:eastAsia="zh-CN"/>
              </w:rPr>
              <w:t>含油金属屑进行分离。</w:t>
            </w:r>
          </w:p>
          <w:p>
            <w:pPr>
              <w:keepNext w:val="0"/>
              <w:keepLines w:val="0"/>
              <w:pageBreakBefore w:val="0"/>
              <w:widowControl w:val="0"/>
              <w:tabs>
                <w:tab w:val="left" w:pos="6420"/>
              </w:tabs>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olor w:val="auto"/>
                <w:w w:val="100"/>
                <w:sz w:val="24"/>
                <w:szCs w:val="24"/>
                <w:highlight w:val="none"/>
                <w:lang w:eastAsia="zh-CN"/>
              </w:rPr>
            </w:pPr>
            <w:r>
              <w:rPr>
                <w:rFonts w:hint="eastAsia" w:cs="Times New Roman"/>
                <w:color w:val="auto"/>
                <w:sz w:val="24"/>
                <w:szCs w:val="24"/>
                <w:highlight w:val="none"/>
                <w:lang w:val="en-US" w:eastAsia="zh-CN"/>
              </w:rPr>
              <w:t>3、对现有</w:t>
            </w:r>
            <w:r>
              <w:rPr>
                <w:rFonts w:hint="eastAsia" w:cs="Times New Roman"/>
                <w:color w:val="auto"/>
                <w:sz w:val="24"/>
                <w:szCs w:val="24"/>
                <w:highlight w:val="none"/>
                <w:lang w:eastAsia="zh-CN"/>
              </w:rPr>
              <w:t>危废暂存间进行改造，</w:t>
            </w:r>
            <w:r>
              <w:rPr>
                <w:rFonts w:hint="eastAsia" w:ascii="Times New Roman" w:hAnsi="Times New Roman"/>
                <w:color w:val="auto"/>
                <w:w w:val="100"/>
                <w:sz w:val="24"/>
                <w:szCs w:val="24"/>
                <w:highlight w:val="none"/>
              </w:rPr>
              <w:t>按照《危险废物贮存污染控制标准》（GB18597-2001）中的有关规定进行</w:t>
            </w:r>
            <w:r>
              <w:rPr>
                <w:rFonts w:hint="eastAsia"/>
                <w:color w:val="auto"/>
                <w:w w:val="100"/>
                <w:sz w:val="24"/>
                <w:szCs w:val="24"/>
                <w:highlight w:val="none"/>
                <w:lang w:eastAsia="zh-CN"/>
              </w:rPr>
              <w:t>改造</w:t>
            </w:r>
            <w:r>
              <w:rPr>
                <w:rFonts w:hint="eastAsia" w:ascii="Times New Roman" w:hAnsi="Times New Roman"/>
                <w:color w:val="auto"/>
                <w:w w:val="100"/>
                <w:sz w:val="24"/>
                <w:szCs w:val="24"/>
                <w:highlight w:val="none"/>
              </w:rPr>
              <w:t>，四周设围堰，并做到防风、防雨、防晒</w:t>
            </w:r>
            <w:r>
              <w:rPr>
                <w:rFonts w:hint="eastAsia"/>
                <w:color w:val="auto"/>
                <w:w w:val="100"/>
                <w:sz w:val="24"/>
                <w:szCs w:val="24"/>
                <w:highlight w:val="none"/>
                <w:lang w:eastAsia="zh-CN"/>
              </w:rPr>
              <w:t>。</w:t>
            </w:r>
          </w:p>
          <w:p>
            <w:pPr>
              <w:pStyle w:val="52"/>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cs="Times New Roman"/>
                <w:color w:val="auto"/>
                <w:sz w:val="24"/>
                <w:szCs w:val="24"/>
                <w:highlight w:val="none"/>
                <w:lang w:val="en-US" w:eastAsia="zh-CN"/>
              </w:rPr>
            </w:pPr>
          </w:p>
          <w:p>
            <w:pPr>
              <w:pStyle w:val="5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cs="Times New Roman"/>
                <w:color w:val="auto"/>
                <w:sz w:val="24"/>
                <w:szCs w:val="24"/>
                <w:highlight w:val="none"/>
                <w:lang w:eastAsia="zh-CN"/>
              </w:rPr>
            </w:pPr>
          </w:p>
          <w:p>
            <w:pPr>
              <w:pStyle w:val="5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cs="Times New Roman"/>
                <w:color w:val="auto"/>
                <w:sz w:val="24"/>
                <w:szCs w:val="24"/>
                <w:highlight w:val="none"/>
                <w:lang w:eastAsia="zh-CN"/>
              </w:rPr>
            </w:pPr>
          </w:p>
          <w:p>
            <w:pPr>
              <w:pStyle w:val="5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cs="Times New Roman"/>
                <w:color w:val="auto"/>
                <w:sz w:val="24"/>
                <w:szCs w:val="24"/>
                <w:highlight w:val="none"/>
                <w:lang w:eastAsia="zh-CN"/>
              </w:rPr>
            </w:pPr>
          </w:p>
          <w:p>
            <w:pPr>
              <w:pStyle w:val="5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cs="Times New Roman"/>
                <w:color w:val="auto"/>
                <w:sz w:val="24"/>
                <w:szCs w:val="24"/>
                <w:highlight w:val="none"/>
                <w:lang w:eastAsia="zh-CN"/>
              </w:rPr>
            </w:pPr>
          </w:p>
          <w:p>
            <w:pPr>
              <w:pStyle w:val="5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cs="Times New Roman"/>
                <w:color w:val="auto"/>
                <w:sz w:val="24"/>
                <w:szCs w:val="24"/>
                <w:highlight w:val="none"/>
                <w:lang w:eastAsia="zh-CN"/>
              </w:rPr>
            </w:pPr>
          </w:p>
          <w:p>
            <w:pPr>
              <w:pStyle w:val="5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cs="Times New Roman"/>
                <w:color w:val="auto"/>
                <w:sz w:val="24"/>
                <w:szCs w:val="24"/>
                <w:highlight w:val="none"/>
                <w:lang w:eastAsia="zh-CN"/>
              </w:rPr>
            </w:pPr>
          </w:p>
          <w:p>
            <w:pPr>
              <w:pStyle w:val="5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cs="Times New Roman"/>
                <w:color w:val="auto"/>
                <w:sz w:val="24"/>
                <w:szCs w:val="24"/>
                <w:highlight w:val="none"/>
                <w:lang w:eastAsia="zh-CN"/>
              </w:rPr>
            </w:pPr>
          </w:p>
          <w:p>
            <w:pPr>
              <w:pStyle w:val="5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ascii="Times New Roman" w:hAnsi="Times New Roman" w:cs="Times New Roman"/>
                <w:color w:val="auto"/>
                <w:sz w:val="24"/>
                <w:szCs w:val="24"/>
                <w:highlight w:val="none"/>
                <w:lang w:eastAsia="zh-CN"/>
              </w:rPr>
            </w:pPr>
          </w:p>
          <w:p>
            <w:pPr>
              <w:pStyle w:val="2"/>
              <w:rPr>
                <w:color w:val="auto"/>
                <w:highlight w:val="none"/>
              </w:rPr>
            </w:pPr>
          </w:p>
        </w:tc>
      </w:tr>
    </w:tbl>
    <w:p>
      <w:pPr>
        <w:outlineLvl w:val="0"/>
        <w:rPr>
          <w:b/>
          <w:color w:val="auto"/>
          <w:kern w:val="24"/>
          <w:sz w:val="32"/>
          <w:szCs w:val="20"/>
          <w:highlight w:val="none"/>
        </w:rPr>
      </w:pPr>
      <w:r>
        <w:rPr>
          <w:color w:val="auto"/>
          <w:kern w:val="24"/>
          <w:sz w:val="28"/>
          <w:szCs w:val="20"/>
          <w:highlight w:val="none"/>
        </w:rPr>
        <w:br w:type="page"/>
      </w:r>
      <w:r>
        <w:rPr>
          <w:b/>
          <w:bCs/>
          <w:color w:val="auto"/>
          <w:sz w:val="32"/>
          <w:highlight w:val="none"/>
        </w:rPr>
        <w:t>建设项目所在地自然环境社会环境简况</w:t>
      </w:r>
    </w:p>
    <w:tbl>
      <w:tblPr>
        <w:tblStyle w:val="31"/>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2" w:hRule="atLeast"/>
          <w:jc w:val="center"/>
        </w:trPr>
        <w:tc>
          <w:tcPr>
            <w:tcW w:w="9356" w:type="dxa"/>
          </w:tcPr>
          <w:p>
            <w:pPr>
              <w:spacing w:line="340" w:lineRule="exact"/>
              <w:rPr>
                <w:b/>
                <w:bCs/>
                <w:color w:val="auto"/>
                <w:kern w:val="0"/>
                <w:sz w:val="28"/>
                <w:highlight w:val="none"/>
              </w:rPr>
            </w:pPr>
            <w:r>
              <w:rPr>
                <w:b/>
                <w:bCs/>
                <w:color w:val="auto"/>
                <w:kern w:val="0"/>
                <w:sz w:val="28"/>
                <w:highlight w:val="none"/>
              </w:rPr>
              <w:t>自然环境简况（地形、地貌、气候、气象、水文、植被、生物多样性等）：</w:t>
            </w:r>
          </w:p>
          <w:p>
            <w:pPr>
              <w:spacing w:line="480" w:lineRule="exact"/>
              <w:ind w:firstLine="480"/>
              <w:rPr>
                <w:b/>
                <w:bCs/>
                <w:color w:val="auto"/>
                <w:sz w:val="24"/>
                <w:highlight w:val="none"/>
              </w:rPr>
            </w:pPr>
            <w:r>
              <w:rPr>
                <w:b/>
                <w:bCs/>
                <w:color w:val="auto"/>
                <w:sz w:val="24"/>
                <w:highlight w:val="none"/>
              </w:rPr>
              <w:t>1地理位置</w:t>
            </w:r>
          </w:p>
          <w:p>
            <w:pPr>
              <w:spacing w:line="460" w:lineRule="exact"/>
              <w:ind w:firstLine="482"/>
              <w:rPr>
                <w:color w:val="auto"/>
                <w:sz w:val="24"/>
                <w:highlight w:val="none"/>
              </w:rPr>
            </w:pPr>
            <w:r>
              <w:rPr>
                <w:color w:val="auto"/>
                <w:sz w:val="24"/>
                <w:highlight w:val="none"/>
              </w:rPr>
              <w:t>迁安市隶属于河北省，位于河北省东北部，燕山南麓，滦河岸边，地理坐标为东经118°37′～118°55′，北纬39°51′～40°15′之间，东与秦皇岛卢龙县交界，南连滦县，西接迁西县，北与秦皇岛市青龙满族自治县相望。长城横贯迁安市北部，成为迁安市与青龙满族自治县的界墙。全市东西横局39km，南北纵横45km，总面积大1208km2。西距北京市195公里，天津市160公里，东至秦皇岛市75公里，南距</w:t>
            </w:r>
            <w:r>
              <w:rPr>
                <w:color w:val="auto"/>
                <w:highlight w:val="none"/>
              </w:rPr>
              <w:fldChar w:fldCharType="begin"/>
            </w:r>
            <w:r>
              <w:rPr>
                <w:color w:val="auto"/>
                <w:highlight w:val="none"/>
              </w:rPr>
              <w:instrText xml:space="preserve"> HYPERLINK "https://baike.sogou.com/v3162230.htm" \t "https://baike.sogou.com/_blank" </w:instrText>
            </w:r>
            <w:r>
              <w:rPr>
                <w:color w:val="auto"/>
                <w:highlight w:val="none"/>
              </w:rPr>
              <w:fldChar w:fldCharType="separate"/>
            </w:r>
            <w:r>
              <w:rPr>
                <w:color w:val="auto"/>
                <w:sz w:val="24"/>
                <w:highlight w:val="none"/>
              </w:rPr>
              <w:t>京唐港</w:t>
            </w:r>
            <w:r>
              <w:rPr>
                <w:color w:val="auto"/>
                <w:sz w:val="24"/>
                <w:highlight w:val="none"/>
              </w:rPr>
              <w:fldChar w:fldCharType="end"/>
            </w:r>
            <w:r>
              <w:rPr>
                <w:color w:val="auto"/>
                <w:sz w:val="24"/>
                <w:highlight w:val="none"/>
              </w:rPr>
              <w:t>90公里，与唐山市相距90公里。交通方便。</w:t>
            </w:r>
          </w:p>
          <w:p>
            <w:pPr>
              <w:pStyle w:val="7"/>
              <w:rPr>
                <w:b/>
                <w:bCs/>
                <w:color w:val="auto"/>
                <w:kern w:val="24"/>
                <w:sz w:val="24"/>
                <w:highlight w:val="none"/>
              </w:rPr>
            </w:pPr>
            <w:r>
              <w:rPr>
                <w:b/>
                <w:bCs/>
                <w:color w:val="auto"/>
                <w:kern w:val="0"/>
                <w:sz w:val="24"/>
                <w:highlight w:val="none"/>
              </w:rPr>
              <w:t>本项目位于</w:t>
            </w:r>
            <w:r>
              <w:rPr>
                <w:rFonts w:hint="eastAsia"/>
                <w:b/>
                <w:bCs/>
                <w:color w:val="auto"/>
                <w:kern w:val="24"/>
                <w:sz w:val="24"/>
                <w:highlight w:val="none"/>
                <w:lang w:eastAsia="zh-CN"/>
              </w:rPr>
              <w:t>河北迁安经济开发区纬九街南侧、纬十街北侧</w:t>
            </w:r>
            <w:r>
              <w:rPr>
                <w:b/>
                <w:bCs/>
                <w:color w:val="auto"/>
                <w:kern w:val="0"/>
                <w:sz w:val="24"/>
                <w:highlight w:val="none"/>
              </w:rPr>
              <w:t>。</w:t>
            </w:r>
            <w:r>
              <w:rPr>
                <w:rFonts w:hint="eastAsia"/>
                <w:b/>
                <w:bCs/>
                <w:color w:val="auto"/>
                <w:kern w:val="0"/>
                <w:sz w:val="24"/>
                <w:highlight w:val="none"/>
                <w:lang w:eastAsia="zh-CN"/>
              </w:rPr>
              <w:t>厂区</w:t>
            </w:r>
            <w:r>
              <w:rPr>
                <w:b/>
                <w:bCs/>
                <w:color w:val="auto"/>
                <w:sz w:val="24"/>
                <w:highlight w:val="none"/>
              </w:rPr>
              <w:t>中心坐标为N</w:t>
            </w:r>
            <w:r>
              <w:rPr>
                <w:rFonts w:hint="eastAsia"/>
                <w:b/>
                <w:bCs/>
                <w:color w:val="auto"/>
                <w:sz w:val="24"/>
                <w:highlight w:val="none"/>
                <w:lang w:val="en-US" w:eastAsia="zh-CN"/>
              </w:rPr>
              <w:t>39.982366</w:t>
            </w:r>
            <w:r>
              <w:rPr>
                <w:b/>
                <w:bCs/>
                <w:color w:val="auto"/>
                <w:sz w:val="24"/>
                <w:highlight w:val="none"/>
              </w:rPr>
              <w:t>°，E</w:t>
            </w:r>
            <w:r>
              <w:rPr>
                <w:rFonts w:hint="eastAsia"/>
                <w:b/>
                <w:bCs/>
                <w:color w:val="auto"/>
                <w:sz w:val="24"/>
                <w:highlight w:val="none"/>
              </w:rPr>
              <w:t>118.</w:t>
            </w:r>
            <w:r>
              <w:rPr>
                <w:rFonts w:hint="eastAsia"/>
                <w:b/>
                <w:bCs/>
                <w:color w:val="auto"/>
                <w:sz w:val="24"/>
                <w:highlight w:val="none"/>
                <w:lang w:val="en-US" w:eastAsia="zh-CN"/>
              </w:rPr>
              <w:t>602964</w:t>
            </w:r>
            <w:r>
              <w:rPr>
                <w:b/>
                <w:bCs/>
                <w:color w:val="auto"/>
                <w:sz w:val="24"/>
                <w:highlight w:val="none"/>
              </w:rPr>
              <w:t>°。厂区</w:t>
            </w:r>
            <w:r>
              <w:rPr>
                <w:rFonts w:hint="eastAsia"/>
                <w:b/>
                <w:bCs/>
                <w:color w:val="auto"/>
                <w:sz w:val="24"/>
                <w:highlight w:val="none"/>
                <w:lang w:eastAsia="zh-CN"/>
              </w:rPr>
              <w:t>东侧为空地，南侧隔纬十街为中国交建，西侧为</w:t>
            </w:r>
            <w:r>
              <w:rPr>
                <w:rFonts w:hint="eastAsia"/>
                <w:b/>
                <w:bCs/>
                <w:color w:val="auto"/>
                <w:sz w:val="24"/>
                <w:highlight w:val="none"/>
              </w:rPr>
              <w:t>首钢股份公司迁安钢铁公司</w:t>
            </w:r>
            <w:r>
              <w:rPr>
                <w:rFonts w:hint="eastAsia"/>
                <w:b/>
                <w:bCs/>
                <w:color w:val="auto"/>
                <w:sz w:val="24"/>
                <w:highlight w:val="none"/>
                <w:lang w:eastAsia="zh-CN"/>
              </w:rPr>
              <w:t>三维库，北侧隔纬九街为空地。厂址周围较近敏感点分布为：</w:t>
            </w:r>
            <w:r>
              <w:rPr>
                <w:rFonts w:hint="eastAsia"/>
                <w:b/>
                <w:bCs/>
                <w:color w:val="auto"/>
                <w:sz w:val="24"/>
                <w:highlight w:val="none"/>
                <w:lang w:val="en-US" w:eastAsia="zh-CN"/>
              </w:rPr>
              <w:t>项目北距任官营村900m，东北距毛庄村1350m，东距</w:t>
            </w:r>
            <w:r>
              <w:rPr>
                <w:rFonts w:hint="eastAsia"/>
                <w:b/>
                <w:bCs/>
                <w:color w:val="auto"/>
                <w:sz w:val="24"/>
                <w:highlight w:val="none"/>
                <w:lang w:eastAsia="zh-CN"/>
              </w:rPr>
              <w:t>张官营村</w:t>
            </w:r>
            <w:r>
              <w:rPr>
                <w:rFonts w:hint="eastAsia"/>
                <w:b/>
                <w:bCs/>
                <w:color w:val="auto"/>
                <w:sz w:val="24"/>
                <w:highlight w:val="none"/>
                <w:lang w:val="en-US" w:eastAsia="zh-CN"/>
              </w:rPr>
              <w:t>1790m，南距</w:t>
            </w:r>
            <w:r>
              <w:rPr>
                <w:rFonts w:hint="eastAsia"/>
                <w:b/>
                <w:bCs/>
                <w:color w:val="auto"/>
                <w:sz w:val="24"/>
                <w:highlight w:val="none"/>
                <w:lang w:eastAsia="zh-CN"/>
              </w:rPr>
              <w:t>蚕姑庙村</w:t>
            </w:r>
            <w:r>
              <w:rPr>
                <w:rFonts w:hint="eastAsia"/>
                <w:b/>
                <w:bCs/>
                <w:color w:val="auto"/>
                <w:sz w:val="24"/>
                <w:highlight w:val="none"/>
                <w:lang w:val="en-US" w:eastAsia="zh-CN"/>
              </w:rPr>
              <w:t>1270m、距马各庄村2950m，西距</w:t>
            </w:r>
            <w:r>
              <w:rPr>
                <w:rFonts w:hint="eastAsia"/>
                <w:b/>
                <w:bCs/>
                <w:color w:val="auto"/>
                <w:sz w:val="24"/>
                <w:highlight w:val="none"/>
                <w:lang w:eastAsia="zh-CN"/>
              </w:rPr>
              <w:t>洼里村</w:t>
            </w:r>
            <w:r>
              <w:rPr>
                <w:rFonts w:hint="eastAsia"/>
                <w:b/>
                <w:bCs/>
                <w:color w:val="auto"/>
                <w:sz w:val="24"/>
                <w:highlight w:val="none"/>
                <w:lang w:val="en-US" w:eastAsia="zh-CN"/>
              </w:rPr>
              <w:t>1250m，西北局</w:t>
            </w:r>
            <w:r>
              <w:rPr>
                <w:rFonts w:hint="eastAsia"/>
                <w:b/>
                <w:bCs/>
                <w:color w:val="auto"/>
                <w:sz w:val="24"/>
                <w:highlight w:val="none"/>
                <w:lang w:eastAsia="zh-CN"/>
              </w:rPr>
              <w:t>滨河村社区</w:t>
            </w:r>
            <w:r>
              <w:rPr>
                <w:rFonts w:hint="eastAsia"/>
                <w:b/>
                <w:bCs/>
                <w:color w:val="auto"/>
                <w:sz w:val="24"/>
                <w:highlight w:val="none"/>
                <w:lang w:val="en-US" w:eastAsia="zh-CN"/>
              </w:rPr>
              <w:t>1380m、距</w:t>
            </w:r>
            <w:r>
              <w:rPr>
                <w:rFonts w:hint="eastAsia"/>
                <w:b/>
                <w:bCs/>
                <w:color w:val="auto"/>
                <w:sz w:val="24"/>
                <w:highlight w:val="none"/>
                <w:lang w:eastAsia="zh-CN"/>
              </w:rPr>
              <w:t>迁安市民政局第二敬老院</w:t>
            </w:r>
            <w:r>
              <w:rPr>
                <w:rFonts w:hint="eastAsia"/>
                <w:b/>
                <w:bCs/>
                <w:color w:val="auto"/>
                <w:sz w:val="24"/>
                <w:highlight w:val="none"/>
                <w:lang w:val="en-US" w:eastAsia="zh-CN"/>
              </w:rPr>
              <w:t>1380m、距</w:t>
            </w:r>
            <w:r>
              <w:rPr>
                <w:rFonts w:hint="eastAsia"/>
                <w:b/>
                <w:bCs/>
                <w:color w:val="auto"/>
                <w:sz w:val="24"/>
                <w:highlight w:val="none"/>
                <w:lang w:eastAsia="zh-CN"/>
              </w:rPr>
              <w:t>迁安市杨店子工商局</w:t>
            </w:r>
            <w:r>
              <w:rPr>
                <w:rFonts w:hint="eastAsia"/>
                <w:b/>
                <w:bCs/>
                <w:color w:val="auto"/>
                <w:sz w:val="24"/>
                <w:highlight w:val="none"/>
                <w:lang w:val="en-US" w:eastAsia="zh-CN"/>
              </w:rPr>
              <w:t>1710m</w:t>
            </w:r>
            <w:r>
              <w:rPr>
                <w:rFonts w:hint="eastAsia"/>
                <w:b/>
                <w:bCs/>
                <w:color w:val="auto"/>
                <w:sz w:val="24"/>
                <w:highlight w:val="none"/>
                <w:lang w:eastAsia="zh-CN"/>
              </w:rPr>
              <w:t>。距离水源地准保护区</w:t>
            </w:r>
            <w:r>
              <w:rPr>
                <w:rFonts w:hint="eastAsia"/>
                <w:b/>
                <w:bCs/>
                <w:color w:val="auto"/>
                <w:kern w:val="0"/>
                <w:sz w:val="24"/>
                <w:highlight w:val="none"/>
                <w:lang w:val="en-US" w:eastAsia="zh-CN"/>
              </w:rPr>
              <w:t>2870m，距离西沙河生态红线2150m，</w:t>
            </w:r>
            <w:r>
              <w:rPr>
                <w:rFonts w:hint="eastAsia"/>
                <w:b/>
                <w:bCs/>
                <w:color w:val="auto"/>
                <w:kern w:val="0"/>
                <w:sz w:val="24"/>
                <w:highlight w:val="none"/>
                <w:lang w:eastAsia="zh-CN"/>
              </w:rPr>
              <w:t>厂区周边评价范围内其他无</w:t>
            </w:r>
            <w:r>
              <w:rPr>
                <w:b/>
                <w:bCs/>
                <w:color w:val="auto"/>
                <w:kern w:val="0"/>
                <w:sz w:val="24"/>
                <w:highlight w:val="none"/>
              </w:rPr>
              <w:t>自然保护区、风景名胜区、生态功能保护区、文物保护地等法律、法规规定的环境敏感区。</w:t>
            </w:r>
          </w:p>
          <w:p>
            <w:pPr>
              <w:spacing w:line="480" w:lineRule="exact"/>
              <w:ind w:firstLine="482" w:firstLineChars="200"/>
              <w:jc w:val="left"/>
              <w:rPr>
                <w:b/>
                <w:bCs/>
                <w:color w:val="auto"/>
                <w:sz w:val="24"/>
                <w:highlight w:val="none"/>
              </w:rPr>
            </w:pPr>
            <w:r>
              <w:rPr>
                <w:b/>
                <w:bCs/>
                <w:color w:val="auto"/>
                <w:sz w:val="24"/>
                <w:highlight w:val="none"/>
              </w:rPr>
              <w:t>2地形地貌</w:t>
            </w:r>
          </w:p>
          <w:p>
            <w:pPr>
              <w:spacing w:line="460" w:lineRule="exact"/>
              <w:ind w:firstLine="480" w:firstLineChars="200"/>
              <w:rPr>
                <w:color w:val="auto"/>
                <w:sz w:val="24"/>
                <w:highlight w:val="none"/>
              </w:rPr>
            </w:pPr>
            <w:r>
              <w:rPr>
                <w:color w:val="auto"/>
                <w:sz w:val="24"/>
                <w:highlight w:val="none"/>
              </w:rPr>
              <w:t>迁安市地处燕山余脉南部，有低山、丘陵、平原三种地貌类型。低山主要分布在北部长城沿线和西部地区；丘陵主要分布在北部、西部低山与平原之间及东南一带；平原主要分布在城关盆地和东南部丘陵以北，北部丘陵以南，西部丘陵以东。全市整个地形呈东、西、北三面高，南面低的簸箕型。</w:t>
            </w:r>
          </w:p>
          <w:p>
            <w:pPr>
              <w:spacing w:line="460" w:lineRule="exact"/>
              <w:ind w:firstLine="482" w:firstLineChars="200"/>
              <w:jc w:val="left"/>
              <w:rPr>
                <w:b/>
                <w:bCs/>
                <w:color w:val="auto"/>
                <w:sz w:val="24"/>
                <w:highlight w:val="none"/>
              </w:rPr>
            </w:pPr>
            <w:r>
              <w:rPr>
                <w:b/>
                <w:bCs/>
                <w:color w:val="auto"/>
                <w:sz w:val="24"/>
                <w:highlight w:val="none"/>
              </w:rPr>
              <w:t>3水文地质</w:t>
            </w:r>
          </w:p>
          <w:p>
            <w:pPr>
              <w:spacing w:line="460" w:lineRule="exact"/>
              <w:ind w:firstLine="480" w:firstLineChars="200"/>
              <w:rPr>
                <w:color w:val="auto"/>
                <w:sz w:val="24"/>
                <w:highlight w:val="none"/>
              </w:rPr>
            </w:pPr>
            <w:r>
              <w:rPr>
                <w:color w:val="auto"/>
                <w:sz w:val="24"/>
                <w:highlight w:val="none"/>
              </w:rPr>
              <w:t>迁安市境内有滦河、</w:t>
            </w:r>
            <w:r>
              <w:rPr>
                <w:color w:val="auto"/>
                <w:highlight w:val="none"/>
              </w:rPr>
              <w:fldChar w:fldCharType="begin"/>
            </w:r>
            <w:r>
              <w:rPr>
                <w:color w:val="auto"/>
                <w:highlight w:val="none"/>
              </w:rPr>
              <w:instrText xml:space="preserve"> HYPERLINK "https://baike.sogou.com/v64731423.htm" \t "https://baike.sogou.com/_blank" </w:instrText>
            </w:r>
            <w:r>
              <w:rPr>
                <w:color w:val="auto"/>
                <w:highlight w:val="none"/>
              </w:rPr>
              <w:fldChar w:fldCharType="separate"/>
            </w:r>
            <w:r>
              <w:rPr>
                <w:color w:val="auto"/>
                <w:sz w:val="24"/>
                <w:highlight w:val="none"/>
              </w:rPr>
              <w:t>青龙河</w:t>
            </w:r>
            <w:r>
              <w:rPr>
                <w:color w:val="auto"/>
                <w:sz w:val="24"/>
                <w:highlight w:val="none"/>
              </w:rPr>
              <w:fldChar w:fldCharType="end"/>
            </w:r>
            <w:r>
              <w:rPr>
                <w:color w:val="auto"/>
                <w:sz w:val="24"/>
                <w:highlight w:val="none"/>
              </w:rPr>
              <w:t>、沙河等16条河流，自西向东分别属于冀东沿海水系和滦河水系，其中滦河和青龙河为市域内两大河流，属于省级河道，其余14条河流均为县级河道。</w:t>
            </w:r>
            <w:bookmarkStart w:id="0" w:name="ref_7"/>
            <w:bookmarkEnd w:id="0"/>
            <w:r>
              <w:rPr>
                <w:color w:val="auto"/>
                <w:sz w:val="24"/>
                <w:highlight w:val="none"/>
              </w:rPr>
              <w:t>冀东沿海水系有西沙河、管河两条河流独流于境外；滦河水系由滦河及14条支流组成，为流经境内的最大水系。两大水系河道纵横东西、贯穿南北，占地月13.5万亩，河流总长度305.3公里。滦河自龟口入境，由西北向东南斜穿迁安全境，流经迁安54公里，流域面积260平方公里。西有</w:t>
            </w:r>
            <w:r>
              <w:rPr>
                <w:color w:val="auto"/>
                <w:highlight w:val="none"/>
              </w:rPr>
              <w:fldChar w:fldCharType="begin"/>
            </w:r>
            <w:r>
              <w:rPr>
                <w:color w:val="auto"/>
                <w:highlight w:val="none"/>
              </w:rPr>
              <w:instrText xml:space="preserve"> HYPERLINK "https://baike.sogou.com/v70422599.htm" \t "https://baike.sogou.com/_blank" </w:instrText>
            </w:r>
            <w:r>
              <w:rPr>
                <w:color w:val="auto"/>
                <w:highlight w:val="none"/>
              </w:rPr>
              <w:fldChar w:fldCharType="separate"/>
            </w:r>
            <w:r>
              <w:rPr>
                <w:color w:val="auto"/>
                <w:sz w:val="24"/>
                <w:highlight w:val="none"/>
              </w:rPr>
              <w:t>西沙河</w:t>
            </w:r>
            <w:r>
              <w:rPr>
                <w:color w:val="auto"/>
                <w:sz w:val="24"/>
                <w:highlight w:val="none"/>
              </w:rPr>
              <w:fldChar w:fldCharType="end"/>
            </w:r>
            <w:r>
              <w:rPr>
                <w:color w:val="auto"/>
                <w:sz w:val="24"/>
                <w:highlight w:val="none"/>
              </w:rPr>
              <w:t>蜿蜒，东有青龙河环绕，境内形成了三河并行互相辉映的自然景观。</w:t>
            </w:r>
          </w:p>
          <w:p>
            <w:pPr>
              <w:spacing w:line="460" w:lineRule="exact"/>
              <w:ind w:firstLine="480" w:firstLineChars="200"/>
              <w:rPr>
                <w:color w:val="auto"/>
                <w:sz w:val="24"/>
                <w:highlight w:val="none"/>
              </w:rPr>
            </w:pPr>
            <w:r>
              <w:rPr>
                <w:color w:val="auto"/>
                <w:sz w:val="24"/>
                <w:highlight w:val="none"/>
              </w:rPr>
              <w:t>迁安市地质构造属燕山沉降带，地层出露齐全，现保留的有太古界、震旦系、侏罗系、寒武系和第四系松散地层。由于地质构造不同，地下水的分布、埋深、富水程度也不相同。按水文地质构造条件，全市地下水可分为四个大区：北部和西部中低山丘陵地带贫水区；东南部丘陵地带贫水区；坎上平原亚富水区。</w:t>
            </w:r>
          </w:p>
          <w:p>
            <w:pPr>
              <w:spacing w:line="460" w:lineRule="exact"/>
              <w:ind w:firstLine="480" w:firstLineChars="200"/>
              <w:rPr>
                <w:color w:val="auto"/>
                <w:sz w:val="24"/>
                <w:highlight w:val="none"/>
              </w:rPr>
            </w:pPr>
            <w:r>
              <w:rPr>
                <w:color w:val="auto"/>
                <w:sz w:val="24"/>
                <w:highlight w:val="none"/>
              </w:rPr>
              <w:t>河川平原富水区主要分布在迁安市城区，该区受滦河、三里河、青龙河三条河流的影响，地下水丰富，已被广泛开发利用。区内地下水以降水垂向补给和河流侧向补给为主，以人工开采和河流方式排泄。该区域地下水流向为自西北向东南方向。</w:t>
            </w:r>
          </w:p>
          <w:p>
            <w:pPr>
              <w:spacing w:line="480" w:lineRule="exact"/>
              <w:ind w:firstLine="482" w:firstLineChars="200"/>
              <w:jc w:val="left"/>
              <w:rPr>
                <w:b/>
                <w:bCs/>
                <w:color w:val="auto"/>
                <w:sz w:val="24"/>
                <w:highlight w:val="none"/>
              </w:rPr>
            </w:pPr>
            <w:r>
              <w:rPr>
                <w:b/>
                <w:bCs/>
                <w:color w:val="auto"/>
                <w:sz w:val="24"/>
                <w:highlight w:val="none"/>
              </w:rPr>
              <w:t>4 气候气象特征</w:t>
            </w:r>
          </w:p>
          <w:p>
            <w:pPr>
              <w:spacing w:line="460" w:lineRule="exact"/>
              <w:ind w:firstLine="480" w:firstLineChars="200"/>
              <w:rPr>
                <w:color w:val="auto"/>
                <w:sz w:val="24"/>
                <w:highlight w:val="none"/>
              </w:rPr>
            </w:pPr>
            <w:r>
              <w:rPr>
                <w:color w:val="auto"/>
                <w:sz w:val="24"/>
                <w:highlight w:val="none"/>
              </w:rPr>
              <w:t>项目所在地属暖温带半干早大陆性气候类型，据迁安气象局观测资料：每年4~8月份风向多为南风和东南风，9月份至次年3月份为北风和西北风，一般风为3级，最大可达9级，年平均风速2.02m/s。冬春两季干旱少雨，蒸发量大于降水量，多年平均降水量648.48mm（1957~2010年），50年一遇干旱年降水355.8mm（2002年），雨季6~9月份四个月占全年降水总量的82.1%，50年遇的日最大降水量为365.4mm（1959年7月22日），20年一遇的日最大降水量为251.1mm（1962年7月25日）。多年平均蒸发量1629.4mm（1976~2010年）。多年平均相对湿度61.2%，年平均气温10.6℃，日最高气温39.2℃（2002年7月14日和2004年6月11日），最低气温-28.2℃（1978年12月29日），封冻期从每年的11月份至翌年的3月份，最大季节性冻土深度0.90m。年平均日照时间2591.3小时。</w:t>
            </w:r>
          </w:p>
          <w:p>
            <w:pPr>
              <w:spacing w:line="480" w:lineRule="exact"/>
              <w:ind w:firstLine="482" w:firstLineChars="200"/>
              <w:jc w:val="left"/>
              <w:rPr>
                <w:b/>
                <w:bCs/>
                <w:color w:val="auto"/>
                <w:sz w:val="24"/>
                <w:highlight w:val="none"/>
              </w:rPr>
            </w:pPr>
            <w:r>
              <w:rPr>
                <w:b/>
                <w:bCs/>
                <w:color w:val="auto"/>
                <w:sz w:val="24"/>
                <w:highlight w:val="none"/>
              </w:rPr>
              <w:t>5 土壤、植被</w:t>
            </w:r>
          </w:p>
          <w:p>
            <w:pPr>
              <w:spacing w:line="480" w:lineRule="exact"/>
              <w:ind w:firstLine="480"/>
              <w:rPr>
                <w:color w:val="auto"/>
                <w:sz w:val="24"/>
                <w:highlight w:val="none"/>
              </w:rPr>
            </w:pPr>
            <w:r>
              <w:rPr>
                <w:color w:val="auto"/>
                <w:sz w:val="24"/>
                <w:highlight w:val="none"/>
              </w:rPr>
              <w:t>项目所在区域内的土壤成土母质类型，主要为河流冲积物，河流冲积草甸褪土多分布在滦河两岸一带，土壤中有机质含量较低，渗水性能好。该区域除工业企业外，主要是农业区，自然植被很少。植被大部分为人工植被，乡间路两侧及村庄旁植树以杨树为多，有少量柳树、榆树、椿树、槐树和刺槐等。农田主要种植玉米、大豆、小麦等农作物。动物主要为农户饲养的牛、马、猪、羊、鸡等。项目所在区域内无珍稀保护动植物。</w:t>
            </w:r>
          </w:p>
          <w:p>
            <w:pPr>
              <w:spacing w:line="480" w:lineRule="exact"/>
              <w:ind w:firstLine="482" w:firstLineChars="200"/>
              <w:jc w:val="left"/>
              <w:rPr>
                <w:b/>
                <w:bCs/>
                <w:color w:val="auto"/>
                <w:sz w:val="24"/>
                <w:highlight w:val="none"/>
              </w:rPr>
            </w:pPr>
            <w:r>
              <w:rPr>
                <w:b/>
                <w:bCs/>
                <w:color w:val="auto"/>
                <w:sz w:val="24"/>
                <w:highlight w:val="none"/>
              </w:rPr>
              <w:t>6 矿产资源</w:t>
            </w:r>
          </w:p>
          <w:p>
            <w:pPr>
              <w:keepNext w:val="0"/>
              <w:keepLines w:val="0"/>
              <w:pageBreakBefore w:val="0"/>
              <w:widowControl w:val="0"/>
              <w:kinsoku/>
              <w:wordWrap/>
              <w:overflowPunct/>
              <w:topLinePunct w:val="0"/>
              <w:bidi w:val="0"/>
              <w:snapToGrid/>
              <w:spacing w:line="460" w:lineRule="exact"/>
              <w:ind w:firstLine="480" w:firstLineChars="200"/>
              <w:textAlignment w:val="auto"/>
              <w:rPr>
                <w:color w:val="auto"/>
                <w:highlight w:val="none"/>
              </w:rPr>
            </w:pPr>
            <w:r>
              <w:rPr>
                <w:color w:val="auto"/>
                <w:sz w:val="24"/>
                <w:highlight w:val="none"/>
              </w:rPr>
              <w:t>迁安市金属矿藏主要是铁，储量达27.2亿吨，</w:t>
            </w:r>
            <w:r>
              <w:rPr>
                <w:color w:val="auto"/>
                <w:highlight w:val="none"/>
              </w:rPr>
              <w:fldChar w:fldCharType="begin"/>
            </w:r>
            <w:r>
              <w:rPr>
                <w:color w:val="auto"/>
                <w:highlight w:val="none"/>
              </w:rPr>
              <w:instrText xml:space="preserve"> HYPERLINK "https://baike.sogou.com/v7784728.htm" \t "https://baike.sogou.com/_blank" </w:instrText>
            </w:r>
            <w:r>
              <w:rPr>
                <w:color w:val="auto"/>
                <w:highlight w:val="none"/>
              </w:rPr>
              <w:fldChar w:fldCharType="separate"/>
            </w:r>
            <w:r>
              <w:rPr>
                <w:color w:val="auto"/>
                <w:sz w:val="24"/>
                <w:highlight w:val="none"/>
              </w:rPr>
              <w:t>矿石品位</w:t>
            </w:r>
            <w:r>
              <w:rPr>
                <w:color w:val="auto"/>
                <w:sz w:val="24"/>
                <w:highlight w:val="none"/>
              </w:rPr>
              <w:fldChar w:fldCharType="end"/>
            </w:r>
            <w:r>
              <w:rPr>
                <w:color w:val="auto"/>
                <w:sz w:val="24"/>
                <w:highlight w:val="none"/>
              </w:rPr>
              <w:t>在30%左右，</w:t>
            </w:r>
            <w:r>
              <w:rPr>
                <w:color w:val="auto"/>
                <w:highlight w:val="none"/>
              </w:rPr>
              <w:fldChar w:fldCharType="begin"/>
            </w:r>
            <w:r>
              <w:rPr>
                <w:color w:val="auto"/>
                <w:highlight w:val="none"/>
              </w:rPr>
              <w:instrText xml:space="preserve"> HYPERLINK "https://baike.sogou.com/v255907.htm" \t "https://baike.sogou.com/_blank" </w:instrText>
            </w:r>
            <w:r>
              <w:rPr>
                <w:color w:val="auto"/>
                <w:highlight w:val="none"/>
              </w:rPr>
              <w:fldChar w:fldCharType="separate"/>
            </w:r>
            <w:r>
              <w:rPr>
                <w:color w:val="auto"/>
                <w:sz w:val="24"/>
                <w:highlight w:val="none"/>
              </w:rPr>
              <w:t>铁精粉</w:t>
            </w:r>
            <w:r>
              <w:rPr>
                <w:color w:val="auto"/>
                <w:sz w:val="24"/>
                <w:highlight w:val="none"/>
              </w:rPr>
              <w:fldChar w:fldCharType="end"/>
            </w:r>
            <w:r>
              <w:rPr>
                <w:color w:val="auto"/>
                <w:sz w:val="24"/>
                <w:highlight w:val="none"/>
              </w:rPr>
              <w:t>年产量连续14年居全国县级地方铁矿首位，素有“铁迁安”之称。按工业用途分类，共发现矿产24种。主要有色金属矿产：铁、金、铜、镍、锆；冶金辅助原料矿产：溶剂灰岩；化工原料矿产：制碱灰岩、伴生硫；建材及其他非金属矿产：水</w:t>
            </w:r>
            <w:r>
              <w:rPr>
                <w:color w:val="auto"/>
                <w:highlight w:val="none"/>
              </w:rPr>
              <w:fldChar w:fldCharType="begin"/>
            </w:r>
            <w:r>
              <w:rPr>
                <w:color w:val="auto"/>
                <w:highlight w:val="none"/>
              </w:rPr>
              <w:instrText xml:space="preserve"> HYPERLINK "https://baike.sogou.com/v72202.htm" \t "https://baike.sogou.com/_blank" </w:instrText>
            </w:r>
            <w:r>
              <w:rPr>
                <w:color w:val="auto"/>
                <w:highlight w:val="none"/>
              </w:rPr>
              <w:fldChar w:fldCharType="separate"/>
            </w:r>
            <w:r>
              <w:rPr>
                <w:color w:val="auto"/>
                <w:sz w:val="24"/>
                <w:highlight w:val="none"/>
              </w:rPr>
              <w:t>泥灰岩</w:t>
            </w:r>
            <w:r>
              <w:rPr>
                <w:color w:val="auto"/>
                <w:sz w:val="24"/>
                <w:highlight w:val="none"/>
              </w:rPr>
              <w:fldChar w:fldCharType="end"/>
            </w:r>
            <w:r>
              <w:rPr>
                <w:color w:val="auto"/>
                <w:sz w:val="24"/>
                <w:highlight w:val="none"/>
              </w:rPr>
              <w:t>、</w:t>
            </w:r>
            <w:r>
              <w:rPr>
                <w:color w:val="auto"/>
                <w:highlight w:val="none"/>
              </w:rPr>
              <w:fldChar w:fldCharType="begin"/>
            </w:r>
            <w:r>
              <w:rPr>
                <w:color w:val="auto"/>
                <w:highlight w:val="none"/>
              </w:rPr>
              <w:instrText xml:space="preserve"> HYPERLINK "https://baike.sogou.com/v44934.htm" \t "https://baike.sogou.com/_blank" </w:instrText>
            </w:r>
            <w:r>
              <w:rPr>
                <w:color w:val="auto"/>
                <w:highlight w:val="none"/>
              </w:rPr>
              <w:fldChar w:fldCharType="separate"/>
            </w:r>
            <w:r>
              <w:rPr>
                <w:color w:val="auto"/>
                <w:sz w:val="24"/>
                <w:highlight w:val="none"/>
              </w:rPr>
              <w:t>白云岩</w:t>
            </w:r>
            <w:r>
              <w:rPr>
                <w:color w:val="auto"/>
                <w:sz w:val="24"/>
                <w:highlight w:val="none"/>
              </w:rPr>
              <w:fldChar w:fldCharType="end"/>
            </w:r>
            <w:r>
              <w:rPr>
                <w:color w:val="auto"/>
                <w:sz w:val="24"/>
                <w:highlight w:val="none"/>
              </w:rPr>
              <w:t>、大理石、油磨石、</w:t>
            </w:r>
            <w:r>
              <w:rPr>
                <w:color w:val="auto"/>
                <w:highlight w:val="none"/>
              </w:rPr>
              <w:fldChar w:fldCharType="begin"/>
            </w:r>
            <w:r>
              <w:rPr>
                <w:color w:val="auto"/>
                <w:highlight w:val="none"/>
              </w:rPr>
              <w:instrText xml:space="preserve"> HYPERLINK "https://baike.sogou.com/v2542778.htm" \t "https://baike.sogou.com/_blank" </w:instrText>
            </w:r>
            <w:r>
              <w:rPr>
                <w:color w:val="auto"/>
                <w:highlight w:val="none"/>
              </w:rPr>
              <w:fldChar w:fldCharType="separate"/>
            </w:r>
            <w:r>
              <w:rPr>
                <w:color w:val="auto"/>
                <w:sz w:val="24"/>
                <w:highlight w:val="none"/>
              </w:rPr>
              <w:t>膨润土</w:t>
            </w:r>
            <w:r>
              <w:rPr>
                <w:color w:val="auto"/>
                <w:sz w:val="24"/>
                <w:highlight w:val="none"/>
              </w:rPr>
              <w:fldChar w:fldCharType="end"/>
            </w:r>
            <w:r>
              <w:rPr>
                <w:color w:val="auto"/>
                <w:sz w:val="24"/>
                <w:highlight w:val="none"/>
              </w:rPr>
              <w:t>、</w:t>
            </w:r>
            <w:r>
              <w:rPr>
                <w:color w:val="auto"/>
                <w:highlight w:val="none"/>
              </w:rPr>
              <w:fldChar w:fldCharType="begin"/>
            </w:r>
            <w:r>
              <w:rPr>
                <w:color w:val="auto"/>
                <w:highlight w:val="none"/>
              </w:rPr>
              <w:instrText xml:space="preserve"> HYPERLINK "https://baike.sogou.com/v16952.htm" \t "https://baike.sogou.com/_blank" </w:instrText>
            </w:r>
            <w:r>
              <w:rPr>
                <w:color w:val="auto"/>
                <w:highlight w:val="none"/>
              </w:rPr>
              <w:fldChar w:fldCharType="separate"/>
            </w:r>
            <w:r>
              <w:rPr>
                <w:color w:val="auto"/>
                <w:sz w:val="24"/>
                <w:highlight w:val="none"/>
              </w:rPr>
              <w:t>石墨</w:t>
            </w:r>
            <w:r>
              <w:rPr>
                <w:color w:val="auto"/>
                <w:sz w:val="24"/>
                <w:highlight w:val="none"/>
              </w:rPr>
              <w:fldChar w:fldCharType="end"/>
            </w:r>
            <w:r>
              <w:rPr>
                <w:color w:val="auto"/>
                <w:sz w:val="24"/>
                <w:highlight w:val="none"/>
              </w:rPr>
              <w:t>、长石（伴晶岩）、石英、</w:t>
            </w:r>
            <w:r>
              <w:rPr>
                <w:color w:val="auto"/>
                <w:highlight w:val="none"/>
              </w:rPr>
              <w:fldChar w:fldCharType="begin"/>
            </w:r>
            <w:r>
              <w:rPr>
                <w:color w:val="auto"/>
                <w:highlight w:val="none"/>
              </w:rPr>
              <w:instrText xml:space="preserve"> HYPERLINK "https://baike.sogou.com/v79408.htm" \t "https://baike.sogou.com/_blank" </w:instrText>
            </w:r>
            <w:r>
              <w:rPr>
                <w:color w:val="auto"/>
                <w:highlight w:val="none"/>
              </w:rPr>
              <w:fldChar w:fldCharType="separate"/>
            </w:r>
            <w:r>
              <w:rPr>
                <w:color w:val="auto"/>
                <w:sz w:val="24"/>
                <w:highlight w:val="none"/>
              </w:rPr>
              <w:t>高岭土</w:t>
            </w:r>
            <w:r>
              <w:rPr>
                <w:color w:val="auto"/>
                <w:sz w:val="24"/>
                <w:highlight w:val="none"/>
              </w:rPr>
              <w:fldChar w:fldCharType="end"/>
            </w:r>
            <w:r>
              <w:rPr>
                <w:color w:val="auto"/>
                <w:sz w:val="24"/>
                <w:highlight w:val="none"/>
              </w:rPr>
              <w:t>、煤、花岗岩、耐火材料、轻质粘土、</w:t>
            </w:r>
            <w:r>
              <w:rPr>
                <w:color w:val="auto"/>
                <w:highlight w:val="none"/>
              </w:rPr>
              <w:fldChar w:fldCharType="begin"/>
            </w:r>
            <w:r>
              <w:rPr>
                <w:color w:val="auto"/>
                <w:highlight w:val="none"/>
              </w:rPr>
              <w:instrText xml:space="preserve"> HYPERLINK "https://baike.sogou.com/v5213714.htm" \t "https://baike.sogou.com/_blank" </w:instrText>
            </w:r>
            <w:r>
              <w:rPr>
                <w:color w:val="auto"/>
                <w:highlight w:val="none"/>
              </w:rPr>
              <w:fldChar w:fldCharType="separate"/>
            </w:r>
            <w:r>
              <w:rPr>
                <w:color w:val="auto"/>
                <w:sz w:val="24"/>
                <w:highlight w:val="none"/>
              </w:rPr>
              <w:t>石榴子石</w:t>
            </w:r>
            <w:r>
              <w:rPr>
                <w:color w:val="auto"/>
                <w:sz w:val="24"/>
                <w:highlight w:val="none"/>
              </w:rPr>
              <w:fldChar w:fldCharType="end"/>
            </w:r>
            <w:r>
              <w:rPr>
                <w:color w:val="auto"/>
                <w:sz w:val="24"/>
                <w:highlight w:val="none"/>
              </w:rPr>
              <w:t>、建筑砂石等。</w:t>
            </w:r>
          </w:p>
        </w:tc>
      </w:tr>
    </w:tbl>
    <w:p>
      <w:pPr>
        <w:rPr>
          <w:b/>
          <w:bCs/>
          <w:color w:val="auto"/>
          <w:sz w:val="32"/>
          <w:highlight w:val="none"/>
        </w:rPr>
      </w:pPr>
    </w:p>
    <w:p>
      <w:pPr>
        <w:outlineLvl w:val="0"/>
        <w:rPr>
          <w:b/>
          <w:bCs/>
          <w:color w:val="auto"/>
          <w:sz w:val="32"/>
          <w:highlight w:val="none"/>
        </w:rPr>
      </w:pPr>
      <w:r>
        <w:rPr>
          <w:b/>
          <w:bCs/>
          <w:color w:val="auto"/>
          <w:sz w:val="32"/>
          <w:highlight w:val="none"/>
        </w:rPr>
        <w:t>环境质量状况</w:t>
      </w:r>
    </w:p>
    <w:tbl>
      <w:tblPr>
        <w:tblStyle w:val="31"/>
        <w:tblW w:w="9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401" w:type="dxa"/>
          </w:tcPr>
          <w:p>
            <w:pPr>
              <w:autoSpaceDE w:val="0"/>
              <w:autoSpaceDN w:val="0"/>
              <w:adjustRightInd w:val="0"/>
              <w:spacing w:line="480" w:lineRule="exact"/>
              <w:rPr>
                <w:b/>
                <w:bCs/>
                <w:color w:val="auto"/>
                <w:kern w:val="0"/>
                <w:sz w:val="24"/>
                <w:highlight w:val="none"/>
              </w:rPr>
            </w:pPr>
            <w:r>
              <w:rPr>
                <w:b/>
                <w:bCs/>
                <w:color w:val="auto"/>
                <w:kern w:val="0"/>
                <w:sz w:val="24"/>
                <w:highlight w:val="none"/>
              </w:rPr>
              <w:t>建设项目所在地区域环境质量现状及主要环境问题(环境空气、地面水、地下水、声环境、生态环境等)</w:t>
            </w:r>
          </w:p>
          <w:p>
            <w:pPr>
              <w:autoSpaceDE w:val="0"/>
              <w:autoSpaceDN w:val="0"/>
              <w:adjustRightInd w:val="0"/>
              <w:spacing w:line="480" w:lineRule="exact"/>
              <w:ind w:firstLine="496" w:firstLineChars="200"/>
              <w:jc w:val="left"/>
              <w:rPr>
                <w:color w:val="auto"/>
                <w:kern w:val="0"/>
                <w:sz w:val="24"/>
                <w:highlight w:val="none"/>
              </w:rPr>
            </w:pPr>
            <w:r>
              <w:rPr>
                <w:color w:val="auto"/>
                <w:spacing w:val="4"/>
                <w:kern w:val="0"/>
                <w:sz w:val="24"/>
                <w:highlight w:val="none"/>
              </w:rPr>
              <w:t>根据</w:t>
            </w:r>
            <w:r>
              <w:rPr>
                <w:rFonts w:hint="eastAsia"/>
                <w:color w:val="auto"/>
                <w:spacing w:val="4"/>
                <w:kern w:val="0"/>
                <w:sz w:val="24"/>
                <w:highlight w:val="none"/>
                <w:lang w:eastAsia="zh-CN"/>
              </w:rPr>
              <w:t>迁安</w:t>
            </w:r>
            <w:r>
              <w:rPr>
                <w:rFonts w:hint="eastAsia"/>
                <w:color w:val="auto"/>
                <w:spacing w:val="4"/>
                <w:kern w:val="0"/>
                <w:sz w:val="24"/>
                <w:highlight w:val="none"/>
              </w:rPr>
              <w:t>市</w:t>
            </w:r>
            <w:r>
              <w:rPr>
                <w:color w:val="auto"/>
                <w:spacing w:val="4"/>
                <w:kern w:val="0"/>
                <w:sz w:val="24"/>
                <w:highlight w:val="none"/>
              </w:rPr>
              <w:t>环境功能区划和拟建项目所在位置，建设项目位于环境空气质量二类区和环境噪声</w:t>
            </w:r>
            <w:r>
              <w:rPr>
                <w:rFonts w:hint="eastAsia"/>
                <w:color w:val="auto"/>
                <w:spacing w:val="4"/>
                <w:kern w:val="0"/>
                <w:sz w:val="24"/>
                <w:highlight w:val="none"/>
                <w:lang w:val="en-US" w:eastAsia="zh-CN"/>
              </w:rPr>
              <w:t>3</w:t>
            </w:r>
            <w:r>
              <w:rPr>
                <w:color w:val="auto"/>
                <w:spacing w:val="4"/>
                <w:kern w:val="0"/>
                <w:sz w:val="24"/>
                <w:highlight w:val="none"/>
              </w:rPr>
              <w:t>类区。</w:t>
            </w:r>
            <w:r>
              <w:rPr>
                <w:color w:val="auto"/>
                <w:kern w:val="0"/>
                <w:sz w:val="24"/>
                <w:highlight w:val="none"/>
              </w:rPr>
              <w:t>根据</w:t>
            </w:r>
            <w:r>
              <w:rPr>
                <w:rFonts w:hint="eastAsia"/>
                <w:color w:val="auto"/>
                <w:kern w:val="0"/>
                <w:sz w:val="24"/>
                <w:highlight w:val="none"/>
                <w:lang w:eastAsia="zh-CN"/>
              </w:rPr>
              <w:t>迁安市</w:t>
            </w:r>
            <w:r>
              <w:rPr>
                <w:color w:val="auto"/>
                <w:kern w:val="0"/>
                <w:sz w:val="24"/>
                <w:highlight w:val="none"/>
              </w:rPr>
              <w:t>的常规监测数据来代表本地的环境质量现状：</w:t>
            </w:r>
          </w:p>
          <w:p>
            <w:pPr>
              <w:autoSpaceDE w:val="0"/>
              <w:autoSpaceDN w:val="0"/>
              <w:adjustRightInd w:val="0"/>
              <w:spacing w:line="480" w:lineRule="exact"/>
              <w:ind w:firstLine="496" w:firstLineChars="200"/>
              <w:jc w:val="left"/>
              <w:rPr>
                <w:color w:val="auto"/>
                <w:spacing w:val="4"/>
                <w:kern w:val="0"/>
                <w:sz w:val="24"/>
                <w:highlight w:val="none"/>
              </w:rPr>
            </w:pPr>
            <w:r>
              <w:rPr>
                <w:color w:val="auto"/>
                <w:spacing w:val="4"/>
                <w:kern w:val="0"/>
                <w:sz w:val="24"/>
                <w:highlight w:val="none"/>
              </w:rPr>
              <w:t>（1）空气环境质量现状</w:t>
            </w:r>
          </w:p>
          <w:p>
            <w:pPr>
              <w:autoSpaceDE w:val="0"/>
              <w:autoSpaceDN w:val="0"/>
              <w:adjustRightInd w:val="0"/>
              <w:spacing w:line="480" w:lineRule="exact"/>
              <w:ind w:firstLine="496" w:firstLineChars="200"/>
              <w:jc w:val="left"/>
              <w:rPr>
                <w:color w:val="auto"/>
                <w:spacing w:val="4"/>
                <w:kern w:val="0"/>
                <w:sz w:val="24"/>
                <w:highlight w:val="none"/>
              </w:rPr>
            </w:pPr>
            <w:r>
              <w:rPr>
                <w:color w:val="auto"/>
                <w:spacing w:val="4"/>
                <w:kern w:val="0"/>
                <w:sz w:val="24"/>
                <w:highlight w:val="none"/>
              </w:rPr>
              <w:t>1）达标判定</w:t>
            </w:r>
          </w:p>
          <w:p>
            <w:pPr>
              <w:pStyle w:val="46"/>
              <w:spacing w:before="0" w:line="480" w:lineRule="exact"/>
              <w:ind w:firstLine="496"/>
              <w:rPr>
                <w:rFonts w:hint="eastAsia"/>
                <w:color w:val="auto"/>
                <w:highlight w:val="none"/>
              </w:rPr>
            </w:pPr>
            <w:r>
              <w:rPr>
                <w:rFonts w:hint="eastAsia"/>
                <w:color w:val="auto"/>
                <w:highlight w:val="none"/>
              </w:rPr>
              <w:t>根据《2019年唐山市环境状况公报》，2019全年监测365天，优良天数221天（优28天，良193天），其中：轻度污染天数101天，中度污染天数32天，重度污染天数10天，严重污染天数1天。</w:t>
            </w:r>
          </w:p>
          <w:p>
            <w:pPr>
              <w:pStyle w:val="46"/>
              <w:spacing w:before="0" w:line="480" w:lineRule="exact"/>
              <w:ind w:firstLine="496"/>
              <w:rPr>
                <w:color w:val="auto"/>
                <w:highlight w:val="none"/>
              </w:rPr>
            </w:pPr>
            <w:r>
              <w:rPr>
                <w:rFonts w:hint="eastAsia"/>
                <w:color w:val="auto"/>
                <w:highlight w:val="none"/>
              </w:rPr>
              <w:t>2019年全市空气质量综合指数6.54，与上年相比下降4.9%。</w:t>
            </w:r>
          </w:p>
          <w:p>
            <w:pPr>
              <w:autoSpaceDE w:val="0"/>
              <w:autoSpaceDN w:val="0"/>
              <w:adjustRightInd w:val="0"/>
              <w:spacing w:line="440" w:lineRule="exact"/>
              <w:jc w:val="center"/>
              <w:rPr>
                <w:b/>
                <w:bCs/>
                <w:color w:val="auto"/>
                <w:sz w:val="24"/>
                <w:highlight w:val="none"/>
              </w:rPr>
            </w:pPr>
            <w:r>
              <w:rPr>
                <w:b/>
                <w:bCs/>
                <w:color w:val="auto"/>
                <w:sz w:val="24"/>
                <w:highlight w:val="none"/>
              </w:rPr>
              <w:t>表</w:t>
            </w:r>
            <w:r>
              <w:rPr>
                <w:rFonts w:hint="eastAsia"/>
                <w:b/>
                <w:bCs/>
                <w:color w:val="auto"/>
                <w:sz w:val="24"/>
                <w:highlight w:val="none"/>
                <w:lang w:val="en-US" w:eastAsia="zh-CN"/>
              </w:rPr>
              <w:t>12</w:t>
            </w:r>
            <w:r>
              <w:rPr>
                <w:rFonts w:hint="eastAsia"/>
                <w:b/>
                <w:bCs/>
                <w:color w:val="auto"/>
                <w:sz w:val="24"/>
                <w:highlight w:val="none"/>
              </w:rPr>
              <w:t xml:space="preserve">    </w:t>
            </w:r>
            <w:r>
              <w:rPr>
                <w:b/>
                <w:bCs/>
                <w:color w:val="auto"/>
                <w:sz w:val="24"/>
                <w:highlight w:val="none"/>
              </w:rPr>
              <w:t>201</w:t>
            </w:r>
            <w:r>
              <w:rPr>
                <w:rFonts w:hint="eastAsia"/>
                <w:b/>
                <w:bCs/>
                <w:color w:val="auto"/>
                <w:sz w:val="24"/>
                <w:highlight w:val="none"/>
                <w:lang w:val="en-US" w:eastAsia="zh-CN"/>
              </w:rPr>
              <w:t>9</w:t>
            </w:r>
            <w:r>
              <w:rPr>
                <w:b/>
                <w:bCs/>
                <w:color w:val="auto"/>
                <w:sz w:val="24"/>
                <w:highlight w:val="none"/>
              </w:rPr>
              <w:t xml:space="preserve"> 年唐山市环境空气质量年均浓度值情况一览表</w:t>
            </w:r>
          </w:p>
          <w:tbl>
            <w:tblPr>
              <w:tblStyle w:val="31"/>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344"/>
              <w:gridCol w:w="1258"/>
              <w:gridCol w:w="1044"/>
              <w:gridCol w:w="1337"/>
              <w:gridCol w:w="1430"/>
              <w:gridCol w:w="932"/>
              <w:gridCol w:w="18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734" w:type="pct"/>
                  <w:noWrap w:val="0"/>
                  <w:vAlign w:val="center"/>
                </w:tcPr>
                <w:p>
                  <w:pPr>
                    <w:spacing w:line="360" w:lineRule="exact"/>
                    <w:jc w:val="center"/>
                    <w:rPr>
                      <w:color w:val="auto"/>
                      <w:szCs w:val="21"/>
                      <w:highlight w:val="none"/>
                    </w:rPr>
                  </w:pPr>
                  <w:r>
                    <w:rPr>
                      <w:color w:val="auto"/>
                      <w:szCs w:val="21"/>
                      <w:highlight w:val="none"/>
                    </w:rPr>
                    <w:t>指标</w:t>
                  </w:r>
                </w:p>
              </w:tc>
              <w:tc>
                <w:tcPr>
                  <w:tcW w:w="687" w:type="pct"/>
                  <w:noWrap w:val="0"/>
                  <w:vAlign w:val="center"/>
                </w:tcPr>
                <w:p>
                  <w:pPr>
                    <w:spacing w:line="360" w:lineRule="exact"/>
                    <w:jc w:val="center"/>
                    <w:rPr>
                      <w:color w:val="auto"/>
                      <w:szCs w:val="21"/>
                      <w:highlight w:val="none"/>
                      <w:vertAlign w:val="subscript"/>
                    </w:rPr>
                  </w:pPr>
                  <w:r>
                    <w:rPr>
                      <w:color w:val="auto"/>
                      <w:szCs w:val="21"/>
                      <w:highlight w:val="none"/>
                    </w:rPr>
                    <w:t>SO</w:t>
                  </w:r>
                  <w:r>
                    <w:rPr>
                      <w:color w:val="auto"/>
                      <w:szCs w:val="21"/>
                      <w:highlight w:val="none"/>
                      <w:vertAlign w:val="subscript"/>
                    </w:rPr>
                    <w:t>2</w:t>
                  </w:r>
                </w:p>
                <w:p>
                  <w:pPr>
                    <w:spacing w:line="360" w:lineRule="exact"/>
                    <w:jc w:val="center"/>
                    <w:rPr>
                      <w:color w:val="auto"/>
                      <w:szCs w:val="21"/>
                      <w:highlight w:val="none"/>
                    </w:rPr>
                  </w:pPr>
                  <w:r>
                    <w:rPr>
                      <w:color w:val="auto"/>
                      <w:szCs w:val="21"/>
                      <w:highlight w:val="none"/>
                    </w:rPr>
                    <w:t>μg/m</w:t>
                  </w:r>
                  <w:r>
                    <w:rPr>
                      <w:color w:val="auto"/>
                      <w:szCs w:val="21"/>
                      <w:highlight w:val="none"/>
                      <w:vertAlign w:val="superscript"/>
                    </w:rPr>
                    <w:t>3</w:t>
                  </w:r>
                </w:p>
              </w:tc>
              <w:tc>
                <w:tcPr>
                  <w:tcW w:w="570" w:type="pct"/>
                  <w:noWrap w:val="0"/>
                  <w:vAlign w:val="center"/>
                </w:tcPr>
                <w:p>
                  <w:pPr>
                    <w:spacing w:line="360" w:lineRule="exact"/>
                    <w:jc w:val="center"/>
                    <w:rPr>
                      <w:color w:val="auto"/>
                      <w:szCs w:val="21"/>
                      <w:highlight w:val="none"/>
                      <w:vertAlign w:val="subscript"/>
                    </w:rPr>
                  </w:pPr>
                  <w:r>
                    <w:rPr>
                      <w:color w:val="auto"/>
                      <w:szCs w:val="21"/>
                      <w:highlight w:val="none"/>
                    </w:rPr>
                    <w:t>NO</w:t>
                  </w:r>
                  <w:r>
                    <w:rPr>
                      <w:color w:val="auto"/>
                      <w:szCs w:val="21"/>
                      <w:highlight w:val="none"/>
                      <w:vertAlign w:val="subscript"/>
                    </w:rPr>
                    <w:t>2</w:t>
                  </w:r>
                </w:p>
                <w:p>
                  <w:pPr>
                    <w:spacing w:line="360" w:lineRule="exact"/>
                    <w:jc w:val="center"/>
                    <w:rPr>
                      <w:color w:val="auto"/>
                      <w:szCs w:val="21"/>
                      <w:highlight w:val="none"/>
                    </w:rPr>
                  </w:pPr>
                  <w:r>
                    <w:rPr>
                      <w:color w:val="auto"/>
                      <w:szCs w:val="21"/>
                      <w:highlight w:val="none"/>
                    </w:rPr>
                    <w:t>μg/m</w:t>
                  </w:r>
                  <w:r>
                    <w:rPr>
                      <w:color w:val="auto"/>
                      <w:szCs w:val="21"/>
                      <w:highlight w:val="none"/>
                      <w:vertAlign w:val="superscript"/>
                    </w:rPr>
                    <w:t>3</w:t>
                  </w:r>
                </w:p>
              </w:tc>
              <w:tc>
                <w:tcPr>
                  <w:tcW w:w="730" w:type="pct"/>
                  <w:noWrap w:val="0"/>
                  <w:vAlign w:val="center"/>
                </w:tcPr>
                <w:p>
                  <w:pPr>
                    <w:spacing w:line="360" w:lineRule="exact"/>
                    <w:jc w:val="center"/>
                    <w:rPr>
                      <w:color w:val="auto"/>
                      <w:szCs w:val="21"/>
                      <w:highlight w:val="none"/>
                      <w:vertAlign w:val="subscript"/>
                    </w:rPr>
                  </w:pPr>
                  <w:r>
                    <w:rPr>
                      <w:color w:val="auto"/>
                      <w:szCs w:val="21"/>
                      <w:highlight w:val="none"/>
                    </w:rPr>
                    <w:t>PM</w:t>
                  </w:r>
                  <w:r>
                    <w:rPr>
                      <w:color w:val="auto"/>
                      <w:szCs w:val="21"/>
                      <w:highlight w:val="none"/>
                      <w:vertAlign w:val="subscript"/>
                    </w:rPr>
                    <w:t>10</w:t>
                  </w:r>
                </w:p>
                <w:p>
                  <w:pPr>
                    <w:spacing w:line="360" w:lineRule="exact"/>
                    <w:jc w:val="center"/>
                    <w:rPr>
                      <w:color w:val="auto"/>
                      <w:szCs w:val="21"/>
                      <w:highlight w:val="none"/>
                    </w:rPr>
                  </w:pPr>
                  <w:r>
                    <w:rPr>
                      <w:color w:val="auto"/>
                      <w:szCs w:val="21"/>
                      <w:highlight w:val="none"/>
                    </w:rPr>
                    <w:t>μg/m</w:t>
                  </w:r>
                  <w:r>
                    <w:rPr>
                      <w:color w:val="auto"/>
                      <w:szCs w:val="21"/>
                      <w:highlight w:val="none"/>
                      <w:vertAlign w:val="superscript"/>
                    </w:rPr>
                    <w:t>3</w:t>
                  </w:r>
                </w:p>
              </w:tc>
              <w:tc>
                <w:tcPr>
                  <w:tcW w:w="781" w:type="pct"/>
                  <w:noWrap w:val="0"/>
                  <w:vAlign w:val="center"/>
                </w:tcPr>
                <w:p>
                  <w:pPr>
                    <w:spacing w:line="360" w:lineRule="exact"/>
                    <w:jc w:val="center"/>
                    <w:rPr>
                      <w:color w:val="auto"/>
                      <w:szCs w:val="21"/>
                      <w:highlight w:val="none"/>
                      <w:vertAlign w:val="subscript"/>
                    </w:rPr>
                  </w:pPr>
                  <w:r>
                    <w:rPr>
                      <w:color w:val="auto"/>
                      <w:szCs w:val="21"/>
                      <w:highlight w:val="none"/>
                    </w:rPr>
                    <w:t>PM</w:t>
                  </w:r>
                  <w:r>
                    <w:rPr>
                      <w:color w:val="auto"/>
                      <w:szCs w:val="21"/>
                      <w:highlight w:val="none"/>
                      <w:vertAlign w:val="subscript"/>
                    </w:rPr>
                    <w:t>2.5</w:t>
                  </w:r>
                </w:p>
                <w:p>
                  <w:pPr>
                    <w:spacing w:line="360" w:lineRule="exact"/>
                    <w:jc w:val="center"/>
                    <w:rPr>
                      <w:color w:val="auto"/>
                      <w:szCs w:val="21"/>
                      <w:highlight w:val="none"/>
                    </w:rPr>
                  </w:pPr>
                  <w:r>
                    <w:rPr>
                      <w:color w:val="auto"/>
                      <w:szCs w:val="21"/>
                      <w:highlight w:val="none"/>
                    </w:rPr>
                    <w:t>μg/m</w:t>
                  </w:r>
                  <w:r>
                    <w:rPr>
                      <w:color w:val="auto"/>
                      <w:szCs w:val="21"/>
                      <w:highlight w:val="none"/>
                      <w:vertAlign w:val="superscript"/>
                    </w:rPr>
                    <w:t>3</w:t>
                  </w:r>
                </w:p>
              </w:tc>
              <w:tc>
                <w:tcPr>
                  <w:tcW w:w="509" w:type="pct"/>
                  <w:noWrap w:val="0"/>
                  <w:vAlign w:val="center"/>
                </w:tcPr>
                <w:p>
                  <w:pPr>
                    <w:spacing w:line="360" w:lineRule="exact"/>
                    <w:jc w:val="center"/>
                    <w:rPr>
                      <w:color w:val="auto"/>
                      <w:szCs w:val="21"/>
                      <w:highlight w:val="none"/>
                    </w:rPr>
                  </w:pPr>
                  <w:r>
                    <w:rPr>
                      <w:color w:val="auto"/>
                      <w:szCs w:val="21"/>
                      <w:highlight w:val="none"/>
                    </w:rPr>
                    <w:t>CO</w:t>
                  </w:r>
                </w:p>
                <w:p>
                  <w:pPr>
                    <w:spacing w:line="360" w:lineRule="exact"/>
                    <w:jc w:val="center"/>
                    <w:rPr>
                      <w:color w:val="auto"/>
                      <w:szCs w:val="21"/>
                      <w:highlight w:val="none"/>
                    </w:rPr>
                  </w:pPr>
                  <w:r>
                    <w:rPr>
                      <w:rFonts w:hint="eastAsia"/>
                      <w:color w:val="auto"/>
                      <w:szCs w:val="21"/>
                      <w:highlight w:val="none"/>
                      <w:lang w:val="en-US" w:eastAsia="zh-CN"/>
                    </w:rPr>
                    <w:t>m</w:t>
                  </w:r>
                  <w:r>
                    <w:rPr>
                      <w:color w:val="auto"/>
                      <w:szCs w:val="21"/>
                      <w:highlight w:val="none"/>
                    </w:rPr>
                    <w:t>g/m</w:t>
                  </w:r>
                  <w:r>
                    <w:rPr>
                      <w:color w:val="auto"/>
                      <w:szCs w:val="21"/>
                      <w:highlight w:val="none"/>
                      <w:vertAlign w:val="superscript"/>
                    </w:rPr>
                    <w:t>3</w:t>
                  </w:r>
                </w:p>
              </w:tc>
              <w:tc>
                <w:tcPr>
                  <w:tcW w:w="985" w:type="pct"/>
                  <w:noWrap w:val="0"/>
                  <w:vAlign w:val="center"/>
                </w:tcPr>
                <w:p>
                  <w:pPr>
                    <w:spacing w:line="360" w:lineRule="exact"/>
                    <w:jc w:val="center"/>
                    <w:rPr>
                      <w:color w:val="auto"/>
                      <w:szCs w:val="21"/>
                      <w:highlight w:val="none"/>
                    </w:rPr>
                  </w:pPr>
                  <w:r>
                    <w:rPr>
                      <w:color w:val="auto"/>
                      <w:szCs w:val="21"/>
                      <w:highlight w:val="none"/>
                    </w:rPr>
                    <w:t>O</w:t>
                  </w:r>
                  <w:r>
                    <w:rPr>
                      <w:color w:val="auto"/>
                      <w:szCs w:val="21"/>
                      <w:highlight w:val="none"/>
                      <w:vertAlign w:val="subscript"/>
                    </w:rPr>
                    <w:t>3</w:t>
                  </w:r>
                  <w:r>
                    <w:rPr>
                      <w:color w:val="auto"/>
                      <w:szCs w:val="21"/>
                      <w:highlight w:val="none"/>
                    </w:rPr>
                    <w:t>（μg/m</w:t>
                  </w:r>
                  <w:r>
                    <w:rPr>
                      <w:color w:val="auto"/>
                      <w:szCs w:val="21"/>
                      <w:highlight w:val="none"/>
                      <w:vertAlign w:val="superscript"/>
                    </w:rPr>
                    <w:t>3</w:t>
                  </w:r>
                  <w:r>
                    <w:rPr>
                      <w:color w:val="auto"/>
                      <w:szCs w:val="21"/>
                      <w:highlight w:val="none"/>
                    </w:rPr>
                    <w:t>）（日最大8小时平均）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734" w:type="pct"/>
                  <w:noWrap w:val="0"/>
                  <w:vAlign w:val="center"/>
                </w:tcPr>
                <w:p>
                  <w:pPr>
                    <w:spacing w:line="360" w:lineRule="exact"/>
                    <w:jc w:val="center"/>
                    <w:rPr>
                      <w:color w:val="auto"/>
                      <w:szCs w:val="21"/>
                      <w:highlight w:val="none"/>
                    </w:rPr>
                  </w:pPr>
                  <w:r>
                    <w:rPr>
                      <w:color w:val="auto"/>
                      <w:szCs w:val="21"/>
                      <w:highlight w:val="none"/>
                    </w:rPr>
                    <w:t>201</w:t>
                  </w:r>
                  <w:r>
                    <w:rPr>
                      <w:rFonts w:hint="eastAsia"/>
                      <w:color w:val="auto"/>
                      <w:szCs w:val="21"/>
                      <w:highlight w:val="none"/>
                      <w:lang w:val="en-US" w:eastAsia="zh-CN"/>
                    </w:rPr>
                    <w:t>9</w:t>
                  </w:r>
                  <w:r>
                    <w:rPr>
                      <w:color w:val="auto"/>
                      <w:szCs w:val="21"/>
                      <w:highlight w:val="none"/>
                    </w:rPr>
                    <w:t>平均值</w:t>
                  </w:r>
                </w:p>
              </w:tc>
              <w:tc>
                <w:tcPr>
                  <w:tcW w:w="687" w:type="pct"/>
                  <w:noWrap w:val="0"/>
                  <w:vAlign w:val="center"/>
                </w:tcPr>
                <w:p>
                  <w:pPr>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22</w:t>
                  </w:r>
                </w:p>
              </w:tc>
              <w:tc>
                <w:tcPr>
                  <w:tcW w:w="570" w:type="pct"/>
                  <w:noWrap w:val="0"/>
                  <w:vAlign w:val="center"/>
                </w:tcPr>
                <w:p>
                  <w:pPr>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51</w:t>
                  </w:r>
                </w:p>
              </w:tc>
              <w:tc>
                <w:tcPr>
                  <w:tcW w:w="730" w:type="pct"/>
                  <w:noWrap w:val="0"/>
                  <w:vAlign w:val="center"/>
                </w:tcPr>
                <w:p>
                  <w:pPr>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101</w:t>
                  </w:r>
                </w:p>
              </w:tc>
              <w:tc>
                <w:tcPr>
                  <w:tcW w:w="781" w:type="pct"/>
                  <w:noWrap w:val="0"/>
                  <w:vAlign w:val="center"/>
                </w:tcPr>
                <w:p>
                  <w:pPr>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53.9</w:t>
                  </w:r>
                </w:p>
              </w:tc>
              <w:tc>
                <w:tcPr>
                  <w:tcW w:w="509" w:type="pct"/>
                  <w:noWrap w:val="0"/>
                  <w:vAlign w:val="center"/>
                </w:tcPr>
                <w:p>
                  <w:pPr>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2.9</w:t>
                  </w:r>
                </w:p>
              </w:tc>
              <w:tc>
                <w:tcPr>
                  <w:tcW w:w="985" w:type="pct"/>
                  <w:noWrap w:val="0"/>
                  <w:vAlign w:val="center"/>
                </w:tcPr>
                <w:p>
                  <w:pPr>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190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734" w:type="pct"/>
                  <w:noWrap w:val="0"/>
                  <w:vAlign w:val="center"/>
                </w:tcPr>
                <w:p>
                  <w:pPr>
                    <w:spacing w:line="360" w:lineRule="exact"/>
                    <w:jc w:val="center"/>
                    <w:rPr>
                      <w:color w:val="auto"/>
                      <w:szCs w:val="21"/>
                      <w:highlight w:val="none"/>
                    </w:rPr>
                  </w:pPr>
                  <w:r>
                    <w:rPr>
                      <w:color w:val="auto"/>
                      <w:szCs w:val="21"/>
                      <w:highlight w:val="none"/>
                    </w:rPr>
                    <w:t>年均值标准</w:t>
                  </w:r>
                </w:p>
              </w:tc>
              <w:tc>
                <w:tcPr>
                  <w:tcW w:w="687" w:type="pct"/>
                  <w:noWrap w:val="0"/>
                  <w:vAlign w:val="center"/>
                </w:tcPr>
                <w:p>
                  <w:pPr>
                    <w:spacing w:line="360" w:lineRule="exact"/>
                    <w:jc w:val="center"/>
                    <w:rPr>
                      <w:color w:val="auto"/>
                      <w:szCs w:val="21"/>
                      <w:highlight w:val="none"/>
                    </w:rPr>
                  </w:pPr>
                  <w:r>
                    <w:rPr>
                      <w:color w:val="auto"/>
                      <w:szCs w:val="21"/>
                      <w:highlight w:val="none"/>
                    </w:rPr>
                    <w:t>60</w:t>
                  </w:r>
                </w:p>
              </w:tc>
              <w:tc>
                <w:tcPr>
                  <w:tcW w:w="570" w:type="pct"/>
                  <w:noWrap w:val="0"/>
                  <w:vAlign w:val="center"/>
                </w:tcPr>
                <w:p>
                  <w:pPr>
                    <w:spacing w:line="360" w:lineRule="exact"/>
                    <w:jc w:val="center"/>
                    <w:rPr>
                      <w:color w:val="auto"/>
                      <w:szCs w:val="21"/>
                      <w:highlight w:val="none"/>
                    </w:rPr>
                  </w:pPr>
                  <w:r>
                    <w:rPr>
                      <w:color w:val="auto"/>
                      <w:szCs w:val="21"/>
                      <w:highlight w:val="none"/>
                    </w:rPr>
                    <w:t>40</w:t>
                  </w:r>
                </w:p>
              </w:tc>
              <w:tc>
                <w:tcPr>
                  <w:tcW w:w="730" w:type="pct"/>
                  <w:noWrap w:val="0"/>
                  <w:vAlign w:val="center"/>
                </w:tcPr>
                <w:p>
                  <w:pPr>
                    <w:spacing w:line="360" w:lineRule="exact"/>
                    <w:jc w:val="center"/>
                    <w:rPr>
                      <w:color w:val="auto"/>
                      <w:szCs w:val="21"/>
                      <w:highlight w:val="none"/>
                    </w:rPr>
                  </w:pPr>
                  <w:r>
                    <w:rPr>
                      <w:color w:val="auto"/>
                      <w:szCs w:val="21"/>
                      <w:highlight w:val="none"/>
                    </w:rPr>
                    <w:t>70</w:t>
                  </w:r>
                </w:p>
              </w:tc>
              <w:tc>
                <w:tcPr>
                  <w:tcW w:w="781" w:type="pct"/>
                  <w:noWrap w:val="0"/>
                  <w:vAlign w:val="center"/>
                </w:tcPr>
                <w:p>
                  <w:pPr>
                    <w:spacing w:line="360" w:lineRule="exact"/>
                    <w:jc w:val="center"/>
                    <w:rPr>
                      <w:color w:val="auto"/>
                      <w:szCs w:val="21"/>
                      <w:highlight w:val="none"/>
                    </w:rPr>
                  </w:pPr>
                  <w:r>
                    <w:rPr>
                      <w:color w:val="auto"/>
                      <w:szCs w:val="21"/>
                      <w:highlight w:val="none"/>
                    </w:rPr>
                    <w:t>35</w:t>
                  </w:r>
                </w:p>
              </w:tc>
              <w:tc>
                <w:tcPr>
                  <w:tcW w:w="509" w:type="pct"/>
                  <w:noWrap w:val="0"/>
                  <w:vAlign w:val="center"/>
                </w:tcPr>
                <w:p>
                  <w:pPr>
                    <w:spacing w:line="360" w:lineRule="exact"/>
                    <w:jc w:val="center"/>
                    <w:rPr>
                      <w:color w:val="auto"/>
                      <w:szCs w:val="21"/>
                      <w:highlight w:val="none"/>
                    </w:rPr>
                  </w:pPr>
                  <w:r>
                    <w:rPr>
                      <w:color w:val="auto"/>
                      <w:szCs w:val="21"/>
                      <w:highlight w:val="none"/>
                    </w:rPr>
                    <w:t>—</w:t>
                  </w:r>
                </w:p>
              </w:tc>
              <w:tc>
                <w:tcPr>
                  <w:tcW w:w="985" w:type="pct"/>
                  <w:noWrap w:val="0"/>
                  <w:vAlign w:val="center"/>
                </w:tcPr>
                <w:p>
                  <w:pPr>
                    <w:spacing w:line="360" w:lineRule="exact"/>
                    <w:jc w:val="center"/>
                    <w:rPr>
                      <w:color w:val="auto"/>
                      <w:szCs w:val="21"/>
                      <w:highlight w:val="none"/>
                    </w:rPr>
                  </w:pPr>
                  <w:r>
                    <w:rPr>
                      <w:color w:val="auto"/>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734" w:type="pct"/>
                  <w:noWrap w:val="0"/>
                  <w:vAlign w:val="center"/>
                </w:tcPr>
                <w:p>
                  <w:pPr>
                    <w:spacing w:line="360" w:lineRule="exact"/>
                    <w:jc w:val="center"/>
                    <w:rPr>
                      <w:color w:val="auto"/>
                      <w:szCs w:val="21"/>
                      <w:highlight w:val="none"/>
                    </w:rPr>
                  </w:pPr>
                  <w:r>
                    <w:rPr>
                      <w:color w:val="auto"/>
                      <w:szCs w:val="21"/>
                      <w:highlight w:val="none"/>
                    </w:rPr>
                    <w:t>达标情况</w:t>
                  </w:r>
                </w:p>
              </w:tc>
              <w:tc>
                <w:tcPr>
                  <w:tcW w:w="687" w:type="pct"/>
                  <w:noWrap w:val="0"/>
                  <w:vAlign w:val="center"/>
                </w:tcPr>
                <w:p>
                  <w:pPr>
                    <w:spacing w:line="360" w:lineRule="exact"/>
                    <w:jc w:val="center"/>
                    <w:rPr>
                      <w:color w:val="auto"/>
                      <w:szCs w:val="21"/>
                      <w:highlight w:val="none"/>
                    </w:rPr>
                  </w:pPr>
                  <w:r>
                    <w:rPr>
                      <w:color w:val="auto"/>
                      <w:szCs w:val="21"/>
                      <w:highlight w:val="none"/>
                    </w:rPr>
                    <w:t>达标</w:t>
                  </w:r>
                </w:p>
              </w:tc>
              <w:tc>
                <w:tcPr>
                  <w:tcW w:w="570" w:type="pct"/>
                  <w:noWrap w:val="0"/>
                  <w:vAlign w:val="center"/>
                </w:tcPr>
                <w:p>
                  <w:pPr>
                    <w:spacing w:line="360" w:lineRule="exact"/>
                    <w:jc w:val="center"/>
                    <w:rPr>
                      <w:color w:val="auto"/>
                      <w:szCs w:val="21"/>
                      <w:highlight w:val="none"/>
                    </w:rPr>
                  </w:pPr>
                  <w:r>
                    <w:rPr>
                      <w:color w:val="auto"/>
                      <w:szCs w:val="21"/>
                      <w:highlight w:val="none"/>
                    </w:rPr>
                    <w:t>超标</w:t>
                  </w:r>
                </w:p>
              </w:tc>
              <w:tc>
                <w:tcPr>
                  <w:tcW w:w="730" w:type="pct"/>
                  <w:noWrap w:val="0"/>
                  <w:vAlign w:val="center"/>
                </w:tcPr>
                <w:p>
                  <w:pPr>
                    <w:spacing w:line="360" w:lineRule="exact"/>
                    <w:jc w:val="center"/>
                    <w:rPr>
                      <w:color w:val="auto"/>
                      <w:szCs w:val="21"/>
                      <w:highlight w:val="none"/>
                    </w:rPr>
                  </w:pPr>
                  <w:r>
                    <w:rPr>
                      <w:color w:val="auto"/>
                      <w:szCs w:val="21"/>
                      <w:highlight w:val="none"/>
                    </w:rPr>
                    <w:t>超标</w:t>
                  </w:r>
                </w:p>
              </w:tc>
              <w:tc>
                <w:tcPr>
                  <w:tcW w:w="781" w:type="pct"/>
                  <w:noWrap w:val="0"/>
                  <w:vAlign w:val="center"/>
                </w:tcPr>
                <w:p>
                  <w:pPr>
                    <w:spacing w:line="360" w:lineRule="exact"/>
                    <w:jc w:val="center"/>
                    <w:rPr>
                      <w:color w:val="auto"/>
                      <w:szCs w:val="21"/>
                      <w:highlight w:val="none"/>
                    </w:rPr>
                  </w:pPr>
                  <w:r>
                    <w:rPr>
                      <w:color w:val="auto"/>
                      <w:szCs w:val="21"/>
                      <w:highlight w:val="none"/>
                    </w:rPr>
                    <w:t>超标</w:t>
                  </w:r>
                </w:p>
              </w:tc>
              <w:tc>
                <w:tcPr>
                  <w:tcW w:w="509" w:type="pct"/>
                  <w:noWrap w:val="0"/>
                  <w:vAlign w:val="center"/>
                </w:tcPr>
                <w:p>
                  <w:pPr>
                    <w:spacing w:line="360" w:lineRule="exact"/>
                    <w:jc w:val="center"/>
                    <w:rPr>
                      <w:rFonts w:hint="eastAsia" w:eastAsia="宋体"/>
                      <w:color w:val="auto"/>
                      <w:szCs w:val="21"/>
                      <w:highlight w:val="none"/>
                      <w:lang w:eastAsia="zh-CN"/>
                    </w:rPr>
                  </w:pPr>
                </w:p>
              </w:tc>
              <w:tc>
                <w:tcPr>
                  <w:tcW w:w="985" w:type="pct"/>
                  <w:noWrap w:val="0"/>
                  <w:vAlign w:val="center"/>
                </w:tcPr>
                <w:p>
                  <w:pPr>
                    <w:spacing w:line="360" w:lineRule="exact"/>
                    <w:jc w:val="center"/>
                    <w:rPr>
                      <w:rFonts w:hint="eastAsia" w:eastAsia="宋体"/>
                      <w:color w:val="auto"/>
                      <w:szCs w:val="21"/>
                      <w:highlight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734" w:type="pct"/>
                  <w:noWrap w:val="0"/>
                  <w:vAlign w:val="center"/>
                </w:tcPr>
                <w:p>
                  <w:pPr>
                    <w:spacing w:line="360" w:lineRule="exact"/>
                    <w:jc w:val="center"/>
                    <w:rPr>
                      <w:color w:val="auto"/>
                      <w:szCs w:val="21"/>
                      <w:highlight w:val="none"/>
                    </w:rPr>
                  </w:pPr>
                  <w:r>
                    <w:rPr>
                      <w:color w:val="auto"/>
                      <w:szCs w:val="21"/>
                      <w:highlight w:val="none"/>
                    </w:rPr>
                    <w:t>超标百分数</w:t>
                  </w:r>
                </w:p>
              </w:tc>
              <w:tc>
                <w:tcPr>
                  <w:tcW w:w="687" w:type="pct"/>
                  <w:noWrap w:val="0"/>
                  <w:vAlign w:val="center"/>
                </w:tcPr>
                <w:p>
                  <w:pPr>
                    <w:spacing w:line="360" w:lineRule="exact"/>
                    <w:jc w:val="center"/>
                    <w:rPr>
                      <w:color w:val="auto"/>
                      <w:szCs w:val="21"/>
                      <w:highlight w:val="none"/>
                    </w:rPr>
                  </w:pPr>
                  <w:r>
                    <w:rPr>
                      <w:color w:val="auto"/>
                      <w:szCs w:val="21"/>
                      <w:highlight w:val="none"/>
                    </w:rPr>
                    <w:t>—</w:t>
                  </w:r>
                </w:p>
              </w:tc>
              <w:tc>
                <w:tcPr>
                  <w:tcW w:w="570" w:type="pct"/>
                  <w:noWrap w:val="0"/>
                  <w:vAlign w:val="center"/>
                </w:tcPr>
                <w:p>
                  <w:pPr>
                    <w:spacing w:line="360" w:lineRule="exact"/>
                    <w:jc w:val="center"/>
                    <w:rPr>
                      <w:color w:val="auto"/>
                      <w:szCs w:val="21"/>
                      <w:highlight w:val="none"/>
                    </w:rPr>
                  </w:pPr>
                  <w:r>
                    <w:rPr>
                      <w:color w:val="auto"/>
                      <w:szCs w:val="21"/>
                      <w:highlight w:val="none"/>
                    </w:rPr>
                    <w:t>40.0%</w:t>
                  </w:r>
                </w:p>
              </w:tc>
              <w:tc>
                <w:tcPr>
                  <w:tcW w:w="730" w:type="pct"/>
                  <w:noWrap w:val="0"/>
                  <w:vAlign w:val="center"/>
                </w:tcPr>
                <w:p>
                  <w:pPr>
                    <w:spacing w:line="360" w:lineRule="exact"/>
                    <w:jc w:val="center"/>
                    <w:rPr>
                      <w:color w:val="auto"/>
                      <w:szCs w:val="21"/>
                      <w:highlight w:val="none"/>
                    </w:rPr>
                  </w:pPr>
                  <w:r>
                    <w:rPr>
                      <w:color w:val="auto"/>
                      <w:szCs w:val="21"/>
                      <w:highlight w:val="none"/>
                    </w:rPr>
                    <w:t>57.1%</w:t>
                  </w:r>
                </w:p>
              </w:tc>
              <w:tc>
                <w:tcPr>
                  <w:tcW w:w="781" w:type="pct"/>
                  <w:noWrap w:val="0"/>
                  <w:vAlign w:val="center"/>
                </w:tcPr>
                <w:p>
                  <w:pPr>
                    <w:spacing w:line="360" w:lineRule="exact"/>
                    <w:jc w:val="center"/>
                    <w:rPr>
                      <w:color w:val="auto"/>
                      <w:szCs w:val="21"/>
                      <w:highlight w:val="none"/>
                    </w:rPr>
                  </w:pPr>
                  <w:r>
                    <w:rPr>
                      <w:color w:val="auto"/>
                      <w:szCs w:val="21"/>
                      <w:highlight w:val="none"/>
                    </w:rPr>
                    <w:t>71.4%</w:t>
                  </w:r>
                </w:p>
              </w:tc>
              <w:tc>
                <w:tcPr>
                  <w:tcW w:w="509" w:type="pct"/>
                  <w:noWrap w:val="0"/>
                  <w:vAlign w:val="center"/>
                </w:tcPr>
                <w:p>
                  <w:pPr>
                    <w:spacing w:line="360" w:lineRule="exact"/>
                    <w:jc w:val="center"/>
                    <w:rPr>
                      <w:color w:val="auto"/>
                      <w:szCs w:val="21"/>
                      <w:highlight w:val="none"/>
                    </w:rPr>
                  </w:pPr>
                  <w:r>
                    <w:rPr>
                      <w:color w:val="auto"/>
                      <w:szCs w:val="21"/>
                      <w:highlight w:val="none"/>
                    </w:rPr>
                    <w:t>—</w:t>
                  </w:r>
                </w:p>
              </w:tc>
              <w:tc>
                <w:tcPr>
                  <w:tcW w:w="985" w:type="pct"/>
                  <w:noWrap w:val="0"/>
                  <w:vAlign w:val="center"/>
                </w:tcPr>
                <w:p>
                  <w:pPr>
                    <w:spacing w:line="360" w:lineRule="exact"/>
                    <w:jc w:val="center"/>
                    <w:rPr>
                      <w:color w:val="auto"/>
                      <w:szCs w:val="21"/>
                      <w:highlight w:val="none"/>
                    </w:rPr>
                  </w:pPr>
                  <w:r>
                    <w:rPr>
                      <w:color w:val="auto"/>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734" w:type="pct"/>
                  <w:noWrap w:val="0"/>
                  <w:vAlign w:val="center"/>
                </w:tcPr>
                <w:p>
                  <w:pPr>
                    <w:spacing w:line="360" w:lineRule="exact"/>
                    <w:jc w:val="center"/>
                    <w:rPr>
                      <w:color w:val="auto"/>
                      <w:szCs w:val="21"/>
                      <w:highlight w:val="none"/>
                    </w:rPr>
                  </w:pPr>
                  <w:r>
                    <w:rPr>
                      <w:color w:val="auto"/>
                      <w:szCs w:val="21"/>
                      <w:highlight w:val="none"/>
                    </w:rPr>
                    <w:t>日均值标准</w:t>
                  </w:r>
                </w:p>
              </w:tc>
              <w:tc>
                <w:tcPr>
                  <w:tcW w:w="687" w:type="pct"/>
                  <w:noWrap w:val="0"/>
                  <w:vAlign w:val="center"/>
                </w:tcPr>
                <w:p>
                  <w:pPr>
                    <w:spacing w:line="360" w:lineRule="exact"/>
                    <w:jc w:val="center"/>
                    <w:rPr>
                      <w:color w:val="auto"/>
                      <w:szCs w:val="21"/>
                      <w:highlight w:val="none"/>
                    </w:rPr>
                  </w:pPr>
                  <w:r>
                    <w:rPr>
                      <w:color w:val="auto"/>
                      <w:szCs w:val="21"/>
                      <w:highlight w:val="none"/>
                    </w:rPr>
                    <w:t>150</w:t>
                  </w:r>
                </w:p>
              </w:tc>
              <w:tc>
                <w:tcPr>
                  <w:tcW w:w="570" w:type="pct"/>
                  <w:noWrap w:val="0"/>
                  <w:vAlign w:val="center"/>
                </w:tcPr>
                <w:p>
                  <w:pPr>
                    <w:spacing w:line="360" w:lineRule="exact"/>
                    <w:jc w:val="center"/>
                    <w:rPr>
                      <w:color w:val="auto"/>
                      <w:szCs w:val="21"/>
                      <w:highlight w:val="none"/>
                    </w:rPr>
                  </w:pPr>
                  <w:r>
                    <w:rPr>
                      <w:color w:val="auto"/>
                      <w:szCs w:val="21"/>
                      <w:highlight w:val="none"/>
                    </w:rPr>
                    <w:t>80</w:t>
                  </w:r>
                </w:p>
              </w:tc>
              <w:tc>
                <w:tcPr>
                  <w:tcW w:w="730" w:type="pct"/>
                  <w:noWrap w:val="0"/>
                  <w:vAlign w:val="center"/>
                </w:tcPr>
                <w:p>
                  <w:pPr>
                    <w:spacing w:line="360" w:lineRule="exact"/>
                    <w:jc w:val="center"/>
                    <w:rPr>
                      <w:color w:val="auto"/>
                      <w:szCs w:val="21"/>
                      <w:highlight w:val="none"/>
                    </w:rPr>
                  </w:pPr>
                  <w:r>
                    <w:rPr>
                      <w:color w:val="auto"/>
                      <w:szCs w:val="21"/>
                      <w:highlight w:val="none"/>
                    </w:rPr>
                    <w:t>150</w:t>
                  </w:r>
                </w:p>
              </w:tc>
              <w:tc>
                <w:tcPr>
                  <w:tcW w:w="781" w:type="pct"/>
                  <w:noWrap w:val="0"/>
                  <w:vAlign w:val="center"/>
                </w:tcPr>
                <w:p>
                  <w:pPr>
                    <w:spacing w:line="360" w:lineRule="exact"/>
                    <w:jc w:val="center"/>
                    <w:rPr>
                      <w:color w:val="auto"/>
                      <w:szCs w:val="21"/>
                      <w:highlight w:val="none"/>
                    </w:rPr>
                  </w:pPr>
                  <w:r>
                    <w:rPr>
                      <w:color w:val="auto"/>
                      <w:szCs w:val="21"/>
                      <w:highlight w:val="none"/>
                    </w:rPr>
                    <w:t>75</w:t>
                  </w:r>
                </w:p>
              </w:tc>
              <w:tc>
                <w:tcPr>
                  <w:tcW w:w="509" w:type="pct"/>
                  <w:noWrap w:val="0"/>
                  <w:vAlign w:val="center"/>
                </w:tcPr>
                <w:p>
                  <w:pPr>
                    <w:spacing w:line="360" w:lineRule="exact"/>
                    <w:jc w:val="center"/>
                    <w:rPr>
                      <w:color w:val="auto"/>
                      <w:szCs w:val="21"/>
                      <w:highlight w:val="none"/>
                    </w:rPr>
                  </w:pPr>
                  <w:r>
                    <w:rPr>
                      <w:color w:val="auto"/>
                      <w:szCs w:val="21"/>
                      <w:highlight w:val="none"/>
                    </w:rPr>
                    <w:t>4</w:t>
                  </w:r>
                </w:p>
              </w:tc>
              <w:tc>
                <w:tcPr>
                  <w:tcW w:w="985" w:type="pct"/>
                  <w:noWrap w:val="0"/>
                  <w:vAlign w:val="center"/>
                </w:tcPr>
                <w:p>
                  <w:pPr>
                    <w:spacing w:line="360" w:lineRule="exact"/>
                    <w:jc w:val="center"/>
                    <w:rPr>
                      <w:color w:val="auto"/>
                      <w:szCs w:val="21"/>
                      <w:highlight w:val="none"/>
                    </w:rPr>
                  </w:pPr>
                  <w:r>
                    <w:rPr>
                      <w:color w:val="auto"/>
                      <w:szCs w:val="21"/>
                      <w:highlight w:val="none"/>
                    </w:rPr>
                    <w:t>160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734" w:type="pct"/>
                  <w:noWrap w:val="0"/>
                  <w:vAlign w:val="center"/>
                </w:tcPr>
                <w:p>
                  <w:pPr>
                    <w:spacing w:line="360" w:lineRule="exact"/>
                    <w:jc w:val="center"/>
                    <w:rPr>
                      <w:rFonts w:hint="eastAsia" w:eastAsia="宋体"/>
                      <w:color w:val="auto"/>
                      <w:szCs w:val="21"/>
                      <w:highlight w:val="none"/>
                      <w:lang w:eastAsia="zh-CN"/>
                    </w:rPr>
                  </w:pPr>
                  <w:r>
                    <w:rPr>
                      <w:rFonts w:hint="eastAsia"/>
                      <w:color w:val="auto"/>
                      <w:szCs w:val="21"/>
                      <w:highlight w:val="none"/>
                      <w:lang w:eastAsia="zh-CN"/>
                    </w:rPr>
                    <w:t>达标情况</w:t>
                  </w:r>
                </w:p>
              </w:tc>
              <w:tc>
                <w:tcPr>
                  <w:tcW w:w="687" w:type="pct"/>
                  <w:noWrap w:val="0"/>
                  <w:vAlign w:val="center"/>
                </w:tcPr>
                <w:p>
                  <w:pPr>
                    <w:spacing w:line="360" w:lineRule="exact"/>
                    <w:jc w:val="center"/>
                    <w:rPr>
                      <w:color w:val="auto"/>
                      <w:szCs w:val="21"/>
                      <w:highlight w:val="none"/>
                    </w:rPr>
                  </w:pPr>
                  <w:r>
                    <w:rPr>
                      <w:color w:val="auto"/>
                      <w:szCs w:val="21"/>
                      <w:highlight w:val="none"/>
                    </w:rPr>
                    <w:t>—</w:t>
                  </w:r>
                </w:p>
              </w:tc>
              <w:tc>
                <w:tcPr>
                  <w:tcW w:w="570" w:type="pct"/>
                  <w:noWrap w:val="0"/>
                  <w:vAlign w:val="center"/>
                </w:tcPr>
                <w:p>
                  <w:pPr>
                    <w:spacing w:line="360" w:lineRule="exact"/>
                    <w:jc w:val="center"/>
                    <w:rPr>
                      <w:color w:val="auto"/>
                      <w:szCs w:val="21"/>
                      <w:highlight w:val="none"/>
                    </w:rPr>
                  </w:pPr>
                  <w:r>
                    <w:rPr>
                      <w:color w:val="auto"/>
                      <w:szCs w:val="21"/>
                      <w:highlight w:val="none"/>
                    </w:rPr>
                    <w:t>—</w:t>
                  </w:r>
                </w:p>
              </w:tc>
              <w:tc>
                <w:tcPr>
                  <w:tcW w:w="730" w:type="pct"/>
                  <w:noWrap w:val="0"/>
                  <w:vAlign w:val="center"/>
                </w:tcPr>
                <w:p>
                  <w:pPr>
                    <w:spacing w:line="360" w:lineRule="exact"/>
                    <w:jc w:val="center"/>
                    <w:rPr>
                      <w:color w:val="auto"/>
                      <w:szCs w:val="21"/>
                      <w:highlight w:val="none"/>
                    </w:rPr>
                  </w:pPr>
                  <w:r>
                    <w:rPr>
                      <w:color w:val="auto"/>
                      <w:szCs w:val="21"/>
                      <w:highlight w:val="none"/>
                    </w:rPr>
                    <w:t>—</w:t>
                  </w:r>
                </w:p>
              </w:tc>
              <w:tc>
                <w:tcPr>
                  <w:tcW w:w="781" w:type="pct"/>
                  <w:noWrap w:val="0"/>
                  <w:vAlign w:val="center"/>
                </w:tcPr>
                <w:p>
                  <w:pPr>
                    <w:spacing w:line="360" w:lineRule="exact"/>
                    <w:jc w:val="center"/>
                    <w:rPr>
                      <w:color w:val="auto"/>
                      <w:szCs w:val="21"/>
                      <w:highlight w:val="none"/>
                    </w:rPr>
                  </w:pPr>
                  <w:r>
                    <w:rPr>
                      <w:color w:val="auto"/>
                      <w:szCs w:val="21"/>
                      <w:highlight w:val="none"/>
                    </w:rPr>
                    <w:t>—</w:t>
                  </w:r>
                </w:p>
              </w:tc>
              <w:tc>
                <w:tcPr>
                  <w:tcW w:w="509" w:type="pct"/>
                  <w:noWrap w:val="0"/>
                  <w:vAlign w:val="center"/>
                </w:tcPr>
                <w:p>
                  <w:pPr>
                    <w:spacing w:line="36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达标</w:t>
                  </w:r>
                </w:p>
              </w:tc>
              <w:tc>
                <w:tcPr>
                  <w:tcW w:w="985" w:type="pct"/>
                  <w:noWrap w:val="0"/>
                  <w:vAlign w:val="center"/>
                </w:tcPr>
                <w:p>
                  <w:pPr>
                    <w:spacing w:line="36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超标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734" w:type="pct"/>
                  <w:noWrap w:val="0"/>
                  <w:vAlign w:val="center"/>
                </w:tcPr>
                <w:p>
                  <w:pPr>
                    <w:spacing w:line="360" w:lineRule="exact"/>
                    <w:jc w:val="center"/>
                    <w:rPr>
                      <w:rFonts w:hint="eastAsia"/>
                      <w:color w:val="auto"/>
                      <w:szCs w:val="21"/>
                      <w:highlight w:val="none"/>
                      <w:lang w:eastAsia="zh-CN"/>
                    </w:rPr>
                  </w:pPr>
                  <w:r>
                    <w:rPr>
                      <w:rFonts w:hint="eastAsia"/>
                      <w:color w:val="auto"/>
                      <w:szCs w:val="21"/>
                      <w:highlight w:val="none"/>
                      <w:lang w:eastAsia="zh-CN"/>
                    </w:rPr>
                    <w:t>超标百分数</w:t>
                  </w:r>
                </w:p>
              </w:tc>
              <w:tc>
                <w:tcPr>
                  <w:tcW w:w="687" w:type="pct"/>
                  <w:noWrap w:val="0"/>
                  <w:vAlign w:val="center"/>
                </w:tcPr>
                <w:p>
                  <w:pPr>
                    <w:spacing w:line="360" w:lineRule="exact"/>
                    <w:jc w:val="center"/>
                    <w:rPr>
                      <w:color w:val="auto"/>
                      <w:szCs w:val="21"/>
                      <w:highlight w:val="none"/>
                    </w:rPr>
                  </w:pPr>
                  <w:r>
                    <w:rPr>
                      <w:color w:val="auto"/>
                      <w:szCs w:val="21"/>
                      <w:highlight w:val="none"/>
                    </w:rPr>
                    <w:t>—</w:t>
                  </w:r>
                </w:p>
              </w:tc>
              <w:tc>
                <w:tcPr>
                  <w:tcW w:w="570" w:type="pct"/>
                  <w:noWrap w:val="0"/>
                  <w:vAlign w:val="center"/>
                </w:tcPr>
                <w:p>
                  <w:pPr>
                    <w:spacing w:line="360" w:lineRule="exact"/>
                    <w:jc w:val="center"/>
                    <w:rPr>
                      <w:color w:val="auto"/>
                      <w:szCs w:val="21"/>
                      <w:highlight w:val="none"/>
                    </w:rPr>
                  </w:pPr>
                  <w:r>
                    <w:rPr>
                      <w:color w:val="auto"/>
                      <w:szCs w:val="21"/>
                      <w:highlight w:val="none"/>
                    </w:rPr>
                    <w:t>—</w:t>
                  </w:r>
                </w:p>
              </w:tc>
              <w:tc>
                <w:tcPr>
                  <w:tcW w:w="730" w:type="pct"/>
                  <w:noWrap w:val="0"/>
                  <w:vAlign w:val="center"/>
                </w:tcPr>
                <w:p>
                  <w:pPr>
                    <w:spacing w:line="360" w:lineRule="exact"/>
                    <w:jc w:val="center"/>
                    <w:rPr>
                      <w:color w:val="auto"/>
                      <w:szCs w:val="21"/>
                      <w:highlight w:val="none"/>
                    </w:rPr>
                  </w:pPr>
                  <w:r>
                    <w:rPr>
                      <w:color w:val="auto"/>
                      <w:szCs w:val="21"/>
                      <w:highlight w:val="none"/>
                    </w:rPr>
                    <w:t>—</w:t>
                  </w:r>
                </w:p>
              </w:tc>
              <w:tc>
                <w:tcPr>
                  <w:tcW w:w="781" w:type="pct"/>
                  <w:noWrap w:val="0"/>
                  <w:vAlign w:val="center"/>
                </w:tcPr>
                <w:p>
                  <w:pPr>
                    <w:spacing w:line="360" w:lineRule="exact"/>
                    <w:jc w:val="center"/>
                    <w:rPr>
                      <w:color w:val="auto"/>
                      <w:szCs w:val="21"/>
                      <w:highlight w:val="none"/>
                    </w:rPr>
                  </w:pPr>
                  <w:r>
                    <w:rPr>
                      <w:color w:val="auto"/>
                      <w:szCs w:val="21"/>
                      <w:highlight w:val="none"/>
                    </w:rPr>
                    <w:t>—</w:t>
                  </w:r>
                </w:p>
              </w:tc>
              <w:tc>
                <w:tcPr>
                  <w:tcW w:w="509" w:type="pct"/>
                  <w:noWrap w:val="0"/>
                  <w:vAlign w:val="center"/>
                </w:tcPr>
                <w:p>
                  <w:pPr>
                    <w:spacing w:line="360" w:lineRule="exact"/>
                    <w:jc w:val="center"/>
                    <w:rPr>
                      <w:rFonts w:hint="eastAsia"/>
                      <w:color w:val="auto"/>
                      <w:szCs w:val="21"/>
                      <w:highlight w:val="none"/>
                      <w:lang w:eastAsia="zh-CN"/>
                    </w:rPr>
                  </w:pPr>
                  <w:r>
                    <w:rPr>
                      <w:color w:val="auto"/>
                      <w:szCs w:val="21"/>
                      <w:highlight w:val="none"/>
                    </w:rPr>
                    <w:t>—</w:t>
                  </w:r>
                </w:p>
              </w:tc>
              <w:tc>
                <w:tcPr>
                  <w:tcW w:w="985" w:type="pct"/>
                  <w:noWrap w:val="0"/>
                  <w:vAlign w:val="center"/>
                </w:tcPr>
                <w:p>
                  <w:pPr>
                    <w:spacing w:line="360" w:lineRule="exact"/>
                    <w:jc w:val="center"/>
                    <w:rPr>
                      <w:rFonts w:hint="default"/>
                      <w:color w:val="auto"/>
                      <w:szCs w:val="21"/>
                      <w:highlight w:val="none"/>
                      <w:lang w:val="en-US" w:eastAsia="zh-CN"/>
                    </w:rPr>
                  </w:pPr>
                  <w:r>
                    <w:rPr>
                      <w:rFonts w:hint="eastAsia"/>
                      <w:color w:val="auto"/>
                      <w:szCs w:val="21"/>
                      <w:highlight w:val="none"/>
                      <w:lang w:val="en-US" w:eastAsia="zh-CN"/>
                    </w:rPr>
                    <w:t>18.75%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734" w:type="pct"/>
                  <w:noWrap w:val="0"/>
                  <w:vAlign w:val="center"/>
                </w:tcPr>
                <w:p>
                  <w:pPr>
                    <w:spacing w:line="360" w:lineRule="exact"/>
                    <w:jc w:val="center"/>
                    <w:rPr>
                      <w:color w:val="auto"/>
                      <w:szCs w:val="21"/>
                      <w:highlight w:val="none"/>
                    </w:rPr>
                  </w:pPr>
                  <w:r>
                    <w:rPr>
                      <w:color w:val="auto"/>
                      <w:szCs w:val="21"/>
                      <w:highlight w:val="none"/>
                    </w:rPr>
                    <w:t>201</w:t>
                  </w:r>
                  <w:r>
                    <w:rPr>
                      <w:rFonts w:hint="eastAsia"/>
                      <w:color w:val="auto"/>
                      <w:szCs w:val="21"/>
                      <w:highlight w:val="none"/>
                      <w:lang w:val="en-US" w:eastAsia="zh-CN"/>
                    </w:rPr>
                    <w:t>9</w:t>
                  </w:r>
                  <w:r>
                    <w:rPr>
                      <w:color w:val="auto"/>
                      <w:szCs w:val="21"/>
                      <w:highlight w:val="none"/>
                    </w:rPr>
                    <w:t>年与上年相比</w:t>
                  </w:r>
                </w:p>
              </w:tc>
              <w:tc>
                <w:tcPr>
                  <w:tcW w:w="687" w:type="pct"/>
                  <w:noWrap w:val="0"/>
                  <w:vAlign w:val="center"/>
                </w:tcPr>
                <w:p>
                  <w:pPr>
                    <w:spacing w:line="360" w:lineRule="exact"/>
                    <w:jc w:val="center"/>
                    <w:rPr>
                      <w:color w:val="auto"/>
                      <w:szCs w:val="21"/>
                      <w:highlight w:val="none"/>
                    </w:rPr>
                  </w:pPr>
                  <w:r>
                    <w:rPr>
                      <w:color w:val="auto"/>
                      <w:szCs w:val="21"/>
                      <w:highlight w:val="none"/>
                    </w:rPr>
                    <w:t>下降</w:t>
                  </w:r>
                  <w:r>
                    <w:rPr>
                      <w:rFonts w:hint="eastAsia"/>
                      <w:color w:val="auto"/>
                      <w:szCs w:val="21"/>
                      <w:highlight w:val="none"/>
                      <w:lang w:val="en-US" w:eastAsia="zh-CN"/>
                    </w:rPr>
                    <w:t>29.0</w:t>
                  </w:r>
                  <w:r>
                    <w:rPr>
                      <w:color w:val="auto"/>
                      <w:szCs w:val="21"/>
                      <w:highlight w:val="none"/>
                    </w:rPr>
                    <w:t>%</w:t>
                  </w:r>
                </w:p>
              </w:tc>
              <w:tc>
                <w:tcPr>
                  <w:tcW w:w="570" w:type="pct"/>
                  <w:noWrap w:val="0"/>
                  <w:vAlign w:val="center"/>
                </w:tcPr>
                <w:p>
                  <w:pPr>
                    <w:spacing w:line="360" w:lineRule="exact"/>
                    <w:jc w:val="center"/>
                    <w:rPr>
                      <w:color w:val="auto"/>
                      <w:szCs w:val="21"/>
                      <w:highlight w:val="none"/>
                    </w:rPr>
                  </w:pPr>
                  <w:r>
                    <w:rPr>
                      <w:color w:val="auto"/>
                      <w:szCs w:val="21"/>
                      <w:highlight w:val="none"/>
                    </w:rPr>
                    <w:t>上升</w:t>
                  </w:r>
                  <w:r>
                    <w:rPr>
                      <w:rFonts w:hint="eastAsia"/>
                      <w:color w:val="auto"/>
                      <w:szCs w:val="21"/>
                      <w:highlight w:val="none"/>
                      <w:lang w:val="en-US" w:eastAsia="zh-CN"/>
                    </w:rPr>
                    <w:t>1.9</w:t>
                  </w:r>
                  <w:r>
                    <w:rPr>
                      <w:color w:val="auto"/>
                      <w:szCs w:val="21"/>
                      <w:highlight w:val="none"/>
                    </w:rPr>
                    <w:t>%</w:t>
                  </w:r>
                </w:p>
              </w:tc>
              <w:tc>
                <w:tcPr>
                  <w:tcW w:w="730" w:type="pct"/>
                  <w:noWrap w:val="0"/>
                  <w:vAlign w:val="center"/>
                </w:tcPr>
                <w:p>
                  <w:pPr>
                    <w:spacing w:line="360" w:lineRule="exact"/>
                    <w:jc w:val="center"/>
                    <w:rPr>
                      <w:color w:val="auto"/>
                      <w:szCs w:val="21"/>
                      <w:highlight w:val="none"/>
                    </w:rPr>
                  </w:pPr>
                  <w:r>
                    <w:rPr>
                      <w:color w:val="auto"/>
                      <w:szCs w:val="21"/>
                      <w:highlight w:val="none"/>
                    </w:rPr>
                    <w:t>下降</w:t>
                  </w:r>
                  <w:r>
                    <w:rPr>
                      <w:rFonts w:hint="eastAsia"/>
                      <w:color w:val="auto"/>
                      <w:szCs w:val="21"/>
                      <w:highlight w:val="none"/>
                      <w:lang w:val="en-US" w:eastAsia="zh-CN"/>
                    </w:rPr>
                    <w:t>5</w:t>
                  </w:r>
                  <w:r>
                    <w:rPr>
                      <w:color w:val="auto"/>
                      <w:szCs w:val="21"/>
                      <w:highlight w:val="none"/>
                    </w:rPr>
                    <w:t>.6%</w:t>
                  </w:r>
                </w:p>
              </w:tc>
              <w:tc>
                <w:tcPr>
                  <w:tcW w:w="781" w:type="pct"/>
                  <w:noWrap w:val="0"/>
                  <w:vAlign w:val="center"/>
                </w:tcPr>
                <w:p>
                  <w:pPr>
                    <w:spacing w:line="360" w:lineRule="exact"/>
                    <w:jc w:val="center"/>
                    <w:rPr>
                      <w:color w:val="auto"/>
                      <w:szCs w:val="21"/>
                      <w:highlight w:val="none"/>
                    </w:rPr>
                  </w:pPr>
                  <w:r>
                    <w:rPr>
                      <w:color w:val="auto"/>
                      <w:szCs w:val="21"/>
                      <w:highlight w:val="none"/>
                    </w:rPr>
                    <w:t>下降</w:t>
                  </w:r>
                  <w:r>
                    <w:rPr>
                      <w:rFonts w:hint="eastAsia"/>
                      <w:color w:val="auto"/>
                      <w:szCs w:val="21"/>
                      <w:highlight w:val="none"/>
                      <w:lang w:val="en-US" w:eastAsia="zh-CN"/>
                    </w:rPr>
                    <w:t>7.2</w:t>
                  </w:r>
                  <w:r>
                    <w:rPr>
                      <w:color w:val="auto"/>
                      <w:szCs w:val="21"/>
                      <w:highlight w:val="none"/>
                    </w:rPr>
                    <w:t>%</w:t>
                  </w:r>
                </w:p>
              </w:tc>
              <w:tc>
                <w:tcPr>
                  <w:tcW w:w="509" w:type="pct"/>
                  <w:noWrap w:val="0"/>
                  <w:vAlign w:val="center"/>
                </w:tcPr>
                <w:p>
                  <w:pPr>
                    <w:spacing w:line="360" w:lineRule="exact"/>
                    <w:jc w:val="center"/>
                    <w:rPr>
                      <w:color w:val="auto"/>
                      <w:szCs w:val="21"/>
                      <w:highlight w:val="none"/>
                    </w:rPr>
                  </w:pPr>
                  <w:r>
                    <w:rPr>
                      <w:color w:val="auto"/>
                      <w:szCs w:val="21"/>
                      <w:highlight w:val="none"/>
                    </w:rPr>
                    <w:t>下降</w:t>
                  </w:r>
                  <w:r>
                    <w:rPr>
                      <w:rFonts w:hint="eastAsia"/>
                      <w:color w:val="auto"/>
                      <w:szCs w:val="21"/>
                      <w:highlight w:val="none"/>
                      <w:lang w:val="en-US" w:eastAsia="zh-CN"/>
                    </w:rPr>
                    <w:t>3.3</w:t>
                  </w:r>
                  <w:r>
                    <w:rPr>
                      <w:color w:val="auto"/>
                      <w:szCs w:val="21"/>
                      <w:highlight w:val="none"/>
                    </w:rPr>
                    <w:t>%</w:t>
                  </w:r>
                </w:p>
              </w:tc>
              <w:tc>
                <w:tcPr>
                  <w:tcW w:w="985" w:type="pct"/>
                  <w:noWrap w:val="0"/>
                  <w:vAlign w:val="center"/>
                </w:tcPr>
                <w:p>
                  <w:pPr>
                    <w:spacing w:line="360" w:lineRule="exact"/>
                    <w:jc w:val="center"/>
                    <w:rPr>
                      <w:color w:val="auto"/>
                      <w:szCs w:val="21"/>
                      <w:highlight w:val="none"/>
                    </w:rPr>
                  </w:pPr>
                  <w:r>
                    <w:rPr>
                      <w:rFonts w:hint="eastAsia"/>
                      <w:color w:val="auto"/>
                      <w:szCs w:val="21"/>
                      <w:highlight w:val="none"/>
                      <w:lang w:eastAsia="zh-CN"/>
                    </w:rPr>
                    <w:t>上升</w:t>
                  </w:r>
                  <w:r>
                    <w:rPr>
                      <w:rFonts w:hint="eastAsia"/>
                      <w:color w:val="auto"/>
                      <w:szCs w:val="21"/>
                      <w:highlight w:val="none"/>
                      <w:lang w:val="en-US" w:eastAsia="zh-CN"/>
                    </w:rPr>
                    <w:t>5.9</w:t>
                  </w:r>
                  <w:r>
                    <w:rPr>
                      <w:color w:val="auto"/>
                      <w:szCs w:val="21"/>
                      <w:highlight w:val="none"/>
                    </w:rPr>
                    <w:t>%</w:t>
                  </w:r>
                </w:p>
              </w:tc>
            </w:tr>
          </w:tbl>
          <w:p>
            <w:pPr>
              <w:pStyle w:val="46"/>
              <w:spacing w:before="0"/>
              <w:ind w:firstLine="496"/>
              <w:rPr>
                <w:color w:val="auto"/>
                <w:highlight w:val="none"/>
              </w:rPr>
            </w:pPr>
            <w:r>
              <w:rPr>
                <w:color w:val="auto"/>
                <w:highlight w:val="none"/>
              </w:rPr>
              <w:t>由表</w:t>
            </w:r>
            <w:r>
              <w:rPr>
                <w:rFonts w:hint="eastAsia"/>
                <w:color w:val="auto"/>
                <w:highlight w:val="none"/>
                <w:lang w:val="en-US" w:eastAsia="zh-CN"/>
              </w:rPr>
              <w:t>12</w:t>
            </w:r>
            <w:r>
              <w:rPr>
                <w:color w:val="auto"/>
                <w:highlight w:val="none"/>
              </w:rPr>
              <w:t>可知，项目所在区域臭氧日最大8小时年均浓度值、一氧化碳年均浓度值、二氧化硫年均浓度值满足空气质量标准要求；二氧化氮、PM</w:t>
            </w:r>
            <w:r>
              <w:rPr>
                <w:color w:val="auto"/>
                <w:highlight w:val="none"/>
                <w:vertAlign w:val="subscript"/>
              </w:rPr>
              <w:t>2.5</w:t>
            </w:r>
            <w:r>
              <w:rPr>
                <w:color w:val="auto"/>
                <w:highlight w:val="none"/>
              </w:rPr>
              <w:t>、PM</w:t>
            </w:r>
            <w:r>
              <w:rPr>
                <w:color w:val="auto"/>
                <w:highlight w:val="none"/>
                <w:vertAlign w:val="subscript"/>
              </w:rPr>
              <w:t>10</w:t>
            </w:r>
            <w:r>
              <w:rPr>
                <w:color w:val="auto"/>
                <w:highlight w:val="none"/>
              </w:rPr>
              <w:t>超过环境质量标准要求，即项目所在区域为不达标区。</w:t>
            </w:r>
          </w:p>
          <w:p>
            <w:pPr>
              <w:suppressAutoHyphens/>
              <w:topLinePunct/>
              <w:spacing w:line="480" w:lineRule="exact"/>
              <w:ind w:firstLine="480" w:firstLineChars="200"/>
              <w:jc w:val="left"/>
              <w:rPr>
                <w:rFonts w:hint="eastAsia" w:eastAsia="宋体"/>
                <w:color w:val="auto"/>
                <w:sz w:val="24"/>
                <w:highlight w:val="none"/>
                <w:lang w:val="en-US" w:eastAsia="zh-CN"/>
              </w:rPr>
            </w:pPr>
            <w:r>
              <w:rPr>
                <w:rFonts w:hint="eastAsia"/>
                <w:color w:val="auto"/>
                <w:sz w:val="24"/>
                <w:highlight w:val="none"/>
                <w:lang w:val="en-US" w:eastAsia="zh-CN"/>
              </w:rPr>
              <w:t>2）特征污染物</w:t>
            </w:r>
          </w:p>
          <w:p>
            <w:pPr>
              <w:autoSpaceDE w:val="0"/>
              <w:autoSpaceDN w:val="0"/>
              <w:adjustRightInd w:val="0"/>
              <w:spacing w:line="480" w:lineRule="exact"/>
              <w:ind w:firstLine="480" w:firstLineChars="200"/>
              <w:jc w:val="left"/>
              <w:rPr>
                <w:rFonts w:hint="default" w:ascii="Times New Roman" w:hAnsi="Times New Roman" w:eastAsia="宋体" w:cs="Times New Roman"/>
                <w:color w:val="auto"/>
                <w:spacing w:val="4"/>
                <w:kern w:val="0"/>
                <w:sz w:val="24"/>
                <w:szCs w:val="24"/>
                <w:highlight w:val="none"/>
                <w:lang w:val="en-US" w:eastAsia="zh-CN"/>
              </w:rPr>
            </w:pPr>
            <w:r>
              <w:rPr>
                <w:rFonts w:hint="eastAsia" w:ascii="Times New Roman" w:hAnsi="Times New Roman" w:cs="Times New Roman"/>
                <w:color w:val="auto"/>
                <w:sz w:val="24"/>
                <w:szCs w:val="24"/>
                <w:highlight w:val="none"/>
                <w:lang w:eastAsia="zh-CN"/>
              </w:rPr>
              <w:t>本项目特征因子</w:t>
            </w:r>
            <w:r>
              <w:rPr>
                <w:rFonts w:hint="eastAsia" w:ascii="Times New Roman" w:hAnsi="Times New Roman" w:cs="Times New Roman"/>
                <w:color w:val="auto"/>
                <w:sz w:val="24"/>
                <w:szCs w:val="24"/>
                <w:highlight w:val="none"/>
                <w:lang w:val="en-US" w:eastAsia="zh-CN"/>
              </w:rPr>
              <w:t>TSP</w:t>
            </w:r>
            <w:r>
              <w:rPr>
                <w:rFonts w:hint="eastAsia" w:ascii="Times New Roman" w:hAnsi="Times New Roman" w:cs="Times New Roman"/>
                <w:color w:val="auto"/>
                <w:sz w:val="24"/>
                <w:szCs w:val="24"/>
                <w:highlight w:val="none"/>
              </w:rPr>
              <w:t>监测数据采用《</w:t>
            </w:r>
            <w:r>
              <w:rPr>
                <w:rFonts w:hint="eastAsia" w:ascii="Times New Roman" w:hAnsi="Times New Roman" w:cs="Times New Roman"/>
                <w:color w:val="auto"/>
                <w:sz w:val="24"/>
                <w:szCs w:val="24"/>
                <w:highlight w:val="none"/>
                <w:lang w:val="en-US" w:eastAsia="zh-CN"/>
              </w:rPr>
              <w:t>迁安市诚联鑫业铁艺制造有限责任公司金属结构制造项目检测</w:t>
            </w:r>
            <w:r>
              <w:rPr>
                <w:rFonts w:hint="eastAsia" w:ascii="Times New Roman" w:hAnsi="Times New Roman" w:cs="Times New Roman"/>
                <w:color w:val="auto"/>
                <w:sz w:val="24"/>
                <w:szCs w:val="24"/>
                <w:highlight w:val="none"/>
              </w:rPr>
              <w:t>报告》（</w:t>
            </w:r>
            <w:r>
              <w:rPr>
                <w:rFonts w:hint="eastAsia" w:ascii="Times New Roman" w:hAnsi="Times New Roman" w:cs="Times New Roman"/>
                <w:color w:val="auto"/>
                <w:sz w:val="24"/>
                <w:szCs w:val="24"/>
                <w:highlight w:val="none"/>
                <w:lang w:val="en-US" w:eastAsia="zh-CN"/>
              </w:rPr>
              <w:t>冀唐德普（2020）环检第 H20314 号</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，选取</w:t>
            </w:r>
            <w:r>
              <w:rPr>
                <w:rFonts w:hint="eastAsia" w:ascii="Times New Roman" w:hAnsi="Times New Roman" w:cs="Times New Roman"/>
                <w:color w:val="auto"/>
                <w:sz w:val="24"/>
                <w:szCs w:val="24"/>
                <w:highlight w:val="none"/>
                <w:lang w:eastAsia="zh-CN"/>
              </w:rPr>
              <w:t>毛庄村</w:t>
            </w:r>
            <w:r>
              <w:rPr>
                <w:rFonts w:hint="eastAsia" w:ascii="Times New Roman" w:hAnsi="Times New Roman" w:cs="Times New Roman"/>
                <w:color w:val="auto"/>
                <w:sz w:val="24"/>
                <w:szCs w:val="24"/>
                <w:highlight w:val="none"/>
              </w:rPr>
              <w:t>为</w:t>
            </w:r>
            <w:r>
              <w:rPr>
                <w:rFonts w:ascii="Times New Roman" w:hAnsi="Times New Roman" w:cs="Times New Roman"/>
                <w:color w:val="auto"/>
                <w:sz w:val="24"/>
                <w:szCs w:val="24"/>
                <w:highlight w:val="none"/>
              </w:rPr>
              <w:t>大气监测点</w:t>
            </w:r>
            <w:r>
              <w:rPr>
                <w:rFonts w:hint="eastAsia" w:ascii="Times New Roman" w:hAnsi="Times New Roman" w:cs="Times New Roman"/>
                <w:color w:val="auto"/>
                <w:spacing w:val="4"/>
                <w:kern w:val="0"/>
                <w:sz w:val="24"/>
                <w:szCs w:val="24"/>
                <w:highlight w:val="none"/>
                <w:lang w:eastAsia="zh-CN"/>
              </w:rPr>
              <w:t>，监测时间为</w:t>
            </w:r>
            <w:r>
              <w:rPr>
                <w:rFonts w:hint="eastAsia" w:ascii="Times New Roman" w:hAnsi="Times New Roman" w:cs="Times New Roman"/>
                <w:color w:val="auto"/>
                <w:spacing w:val="4"/>
                <w:kern w:val="0"/>
                <w:sz w:val="24"/>
                <w:szCs w:val="24"/>
                <w:highlight w:val="none"/>
                <w:lang w:val="en-US" w:eastAsia="zh-CN"/>
              </w:rPr>
              <w:t>2020.9.1~2020.9.7。</w:t>
            </w:r>
          </w:p>
          <w:p>
            <w:pPr>
              <w:autoSpaceDE w:val="0"/>
              <w:autoSpaceDN w:val="0"/>
              <w:adjustRightInd w:val="0"/>
              <w:spacing w:line="480" w:lineRule="exact"/>
              <w:ind w:firstLine="480" w:firstLineChars="200"/>
              <w:jc w:val="center"/>
              <w:rPr>
                <w:rFonts w:hint="default" w:ascii="Times New Roman" w:hAnsi="Times New Roman" w:eastAsia="黑体" w:cs="Times New Roman"/>
                <w:color w:val="auto"/>
                <w:sz w:val="24"/>
                <w:szCs w:val="24"/>
                <w:highlight w:val="none"/>
              </w:rPr>
            </w:pPr>
          </w:p>
          <w:p>
            <w:pPr>
              <w:autoSpaceDE w:val="0"/>
              <w:autoSpaceDN w:val="0"/>
              <w:adjustRightInd w:val="0"/>
              <w:spacing w:line="480" w:lineRule="exact"/>
              <w:ind w:firstLine="480" w:firstLineChars="200"/>
              <w:jc w:val="center"/>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w:t>
            </w:r>
            <w:r>
              <w:rPr>
                <w:rFonts w:hint="eastAsia" w:eastAsia="黑体" w:cs="Times New Roman"/>
                <w:color w:val="auto"/>
                <w:sz w:val="24"/>
                <w:szCs w:val="24"/>
                <w:highlight w:val="none"/>
                <w:lang w:val="en-US" w:eastAsia="zh-CN"/>
              </w:rPr>
              <w:t>13</w:t>
            </w:r>
            <w:r>
              <w:rPr>
                <w:rFonts w:hint="default" w:ascii="Times New Roman" w:hAnsi="Times New Roman" w:eastAsia="黑体" w:cs="Times New Roman"/>
                <w:color w:val="auto"/>
                <w:sz w:val="24"/>
                <w:szCs w:val="24"/>
                <w:highlight w:val="none"/>
                <w:lang w:val="en-US" w:eastAsia="zh-CN"/>
              </w:rPr>
              <w:t xml:space="preserve">  </w:t>
            </w:r>
            <w:r>
              <w:rPr>
                <w:rFonts w:hint="default" w:ascii="Times New Roman" w:hAnsi="Times New Roman" w:eastAsia="黑体" w:cs="Times New Roman"/>
                <w:color w:val="auto"/>
                <w:sz w:val="24"/>
                <w:szCs w:val="24"/>
                <w:highlight w:val="none"/>
              </w:rPr>
              <w:t xml:space="preserve"> </w:t>
            </w:r>
            <w:r>
              <w:rPr>
                <w:rFonts w:hint="eastAsia" w:ascii="Times New Roman" w:hAnsi="Times New Roman" w:eastAsia="黑体" w:cs="Times New Roman"/>
                <w:color w:val="auto"/>
                <w:sz w:val="24"/>
                <w:szCs w:val="24"/>
                <w:highlight w:val="none"/>
                <w:lang w:eastAsia="zh-CN"/>
              </w:rPr>
              <w:t>特征因子</w:t>
            </w:r>
            <w:r>
              <w:rPr>
                <w:rFonts w:hint="default" w:ascii="Times New Roman" w:hAnsi="Times New Roman" w:eastAsia="黑体" w:cs="Times New Roman"/>
                <w:color w:val="auto"/>
                <w:sz w:val="24"/>
                <w:szCs w:val="24"/>
                <w:highlight w:val="none"/>
              </w:rPr>
              <w:t>环境空气现状监测数据</w:t>
            </w:r>
          </w:p>
          <w:tbl>
            <w:tblPr>
              <w:tblStyle w:val="31"/>
              <w:tblW w:w="91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566"/>
              <w:gridCol w:w="820"/>
              <w:gridCol w:w="1876"/>
              <w:gridCol w:w="1115"/>
              <w:gridCol w:w="1526"/>
              <w:gridCol w:w="846"/>
              <w:gridCol w:w="872"/>
              <w:gridCol w:w="15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93" w:hRule="atLeast"/>
                <w:jc w:val="center"/>
              </w:trPr>
              <w:tc>
                <w:tcPr>
                  <w:tcW w:w="566" w:type="dxa"/>
                  <w:noWrap w:val="0"/>
                  <w:vAlign w:val="center"/>
                </w:tcPr>
                <w:p>
                  <w:pPr>
                    <w:widowControl/>
                    <w:snapToGrid w:val="0"/>
                    <w:jc w:val="center"/>
                    <w:textAlignment w:val="center"/>
                    <w:rPr>
                      <w:rFonts w:hint="default" w:ascii="Times New Roman" w:hAnsi="Times New Roman"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eastAsia="zh-CN" w:bidi="ar"/>
                    </w:rPr>
                    <w:t>监测点位</w:t>
                  </w:r>
                </w:p>
              </w:tc>
              <w:tc>
                <w:tcPr>
                  <w:tcW w:w="2696" w:type="dxa"/>
                  <w:gridSpan w:val="2"/>
                  <w:noWrap w:val="0"/>
                  <w:vAlign w:val="center"/>
                </w:tcPr>
                <w:p>
                  <w:pPr>
                    <w:widowControl/>
                    <w:snapToGrid w:val="0"/>
                    <w:jc w:val="center"/>
                    <w:textAlignment w:val="center"/>
                    <w:rPr>
                      <w:rFonts w:hint="default" w:ascii="Times New Roman" w:hAnsi="Times New Roman"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eastAsia="zh-CN" w:bidi="ar"/>
                    </w:rPr>
                    <w:t>监测因子</w:t>
                  </w:r>
                </w:p>
              </w:tc>
              <w:tc>
                <w:tcPr>
                  <w:tcW w:w="1115" w:type="dxa"/>
                  <w:noWrap w:val="0"/>
                  <w:vAlign w:val="center"/>
                </w:tcPr>
                <w:p>
                  <w:pPr>
                    <w:widowControl/>
                    <w:snapToGrid w:val="0"/>
                    <w:jc w:val="center"/>
                    <w:textAlignment w:val="center"/>
                    <w:rPr>
                      <w:rFonts w:hint="default" w:ascii="Times New Roman" w:hAnsi="Times New Roman"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eastAsia="zh-CN" w:bidi="ar"/>
                    </w:rPr>
                    <w:t>标准值（mg/m</w:t>
                  </w:r>
                  <w:r>
                    <w:rPr>
                      <w:rFonts w:hint="default" w:ascii="Times New Roman" w:hAnsi="Times New Roman" w:cs="Times New Roman"/>
                      <w:color w:val="auto"/>
                      <w:kern w:val="0"/>
                      <w:sz w:val="21"/>
                      <w:szCs w:val="21"/>
                      <w:highlight w:val="none"/>
                      <w:vertAlign w:val="superscript"/>
                      <w:lang w:eastAsia="zh-CN" w:bidi="ar"/>
                    </w:rPr>
                    <w:t>3</w:t>
                  </w:r>
                  <w:r>
                    <w:rPr>
                      <w:rFonts w:hint="default" w:ascii="Times New Roman" w:hAnsi="Times New Roman" w:cs="Times New Roman"/>
                      <w:color w:val="auto"/>
                      <w:kern w:val="0"/>
                      <w:sz w:val="21"/>
                      <w:szCs w:val="21"/>
                      <w:highlight w:val="none"/>
                      <w:lang w:eastAsia="zh-CN" w:bidi="ar"/>
                    </w:rPr>
                    <w:t>）</w:t>
                  </w:r>
                </w:p>
              </w:tc>
              <w:tc>
                <w:tcPr>
                  <w:tcW w:w="1526" w:type="dxa"/>
                  <w:noWrap w:val="0"/>
                  <w:vAlign w:val="center"/>
                </w:tcPr>
                <w:p>
                  <w:pPr>
                    <w:widowControl/>
                    <w:snapToGrid w:val="0"/>
                    <w:jc w:val="center"/>
                    <w:textAlignment w:val="center"/>
                    <w:rPr>
                      <w:rFonts w:hint="default" w:ascii="Times New Roman" w:hAnsi="Times New Roman"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eastAsia="zh-CN" w:bidi="ar"/>
                    </w:rPr>
                    <w:t>浓度范围</w:t>
                  </w:r>
                </w:p>
                <w:p>
                  <w:pPr>
                    <w:widowControl/>
                    <w:snapToGrid w:val="0"/>
                    <w:jc w:val="center"/>
                    <w:textAlignment w:val="center"/>
                    <w:rPr>
                      <w:rFonts w:hint="default" w:ascii="Times New Roman" w:hAnsi="Times New Roman"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eastAsia="zh-CN" w:bidi="ar"/>
                    </w:rPr>
                    <w:t>（mg/m</w:t>
                  </w:r>
                  <w:r>
                    <w:rPr>
                      <w:rFonts w:hint="default" w:ascii="Times New Roman" w:hAnsi="Times New Roman" w:cs="Times New Roman"/>
                      <w:color w:val="auto"/>
                      <w:kern w:val="0"/>
                      <w:sz w:val="21"/>
                      <w:szCs w:val="21"/>
                      <w:highlight w:val="none"/>
                      <w:vertAlign w:val="superscript"/>
                      <w:lang w:eastAsia="zh-CN" w:bidi="ar"/>
                    </w:rPr>
                    <w:t>3</w:t>
                  </w:r>
                  <w:r>
                    <w:rPr>
                      <w:rFonts w:hint="default" w:ascii="Times New Roman" w:hAnsi="Times New Roman" w:cs="Times New Roman"/>
                      <w:color w:val="auto"/>
                      <w:kern w:val="0"/>
                      <w:sz w:val="21"/>
                      <w:szCs w:val="21"/>
                      <w:highlight w:val="none"/>
                      <w:lang w:eastAsia="zh-CN" w:bidi="ar"/>
                    </w:rPr>
                    <w:t>）</w:t>
                  </w:r>
                </w:p>
              </w:tc>
              <w:tc>
                <w:tcPr>
                  <w:tcW w:w="846" w:type="dxa"/>
                  <w:noWrap w:val="0"/>
                  <w:vAlign w:val="center"/>
                </w:tcPr>
                <w:p>
                  <w:pPr>
                    <w:widowControl/>
                    <w:snapToGrid w:val="0"/>
                    <w:jc w:val="center"/>
                    <w:textAlignment w:val="center"/>
                    <w:rPr>
                      <w:rFonts w:hint="default" w:ascii="Times New Roman" w:hAnsi="Times New Roman"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eastAsia="zh-CN" w:bidi="ar"/>
                    </w:rPr>
                    <w:t>超标率</w:t>
                  </w:r>
                </w:p>
              </w:tc>
              <w:tc>
                <w:tcPr>
                  <w:tcW w:w="872" w:type="dxa"/>
                  <w:noWrap w:val="0"/>
                  <w:vAlign w:val="center"/>
                </w:tcPr>
                <w:p>
                  <w:pPr>
                    <w:widowControl/>
                    <w:snapToGrid w:val="0"/>
                    <w:jc w:val="center"/>
                    <w:textAlignment w:val="center"/>
                    <w:rPr>
                      <w:rFonts w:hint="default" w:ascii="Times New Roman" w:hAnsi="Times New Roman"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eastAsia="zh-CN" w:bidi="ar"/>
                    </w:rPr>
                    <w:t>最大超标倍数</w:t>
                  </w:r>
                </w:p>
              </w:tc>
              <w:tc>
                <w:tcPr>
                  <w:tcW w:w="1577" w:type="dxa"/>
                  <w:noWrap w:val="0"/>
                  <w:vAlign w:val="center"/>
                </w:tcPr>
                <w:p>
                  <w:pPr>
                    <w:widowControl/>
                    <w:snapToGrid w:val="0"/>
                    <w:jc w:val="center"/>
                    <w:textAlignment w:val="center"/>
                    <w:rPr>
                      <w:rFonts w:hint="default" w:ascii="Times New Roman" w:hAnsi="Times New Roman"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eastAsia="zh-CN" w:bidi="ar"/>
                    </w:rPr>
                    <w:t>标准指数</w:t>
                  </w:r>
                </w:p>
                <w:p>
                  <w:pPr>
                    <w:widowControl/>
                    <w:snapToGrid w:val="0"/>
                    <w:jc w:val="center"/>
                    <w:textAlignment w:val="center"/>
                    <w:rPr>
                      <w:rFonts w:hint="default" w:ascii="Times New Roman" w:hAnsi="Times New Roman"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eastAsia="zh-CN" w:bidi="ar"/>
                    </w:rPr>
                    <w:t>Pi范围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97" w:hRule="atLeast"/>
                <w:jc w:val="center"/>
              </w:trPr>
              <w:tc>
                <w:tcPr>
                  <w:tcW w:w="566" w:type="dxa"/>
                  <w:noWrap w:val="0"/>
                  <w:vAlign w:val="center"/>
                </w:tcPr>
                <w:p>
                  <w:pPr>
                    <w:widowControl/>
                    <w:snapToGrid w:val="0"/>
                    <w:jc w:val="center"/>
                    <w:textAlignment w:val="center"/>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eastAsia="zh-CN" w:bidi="ar"/>
                    </w:rPr>
                    <w:t>毛庄村</w:t>
                  </w:r>
                </w:p>
              </w:tc>
              <w:tc>
                <w:tcPr>
                  <w:tcW w:w="820" w:type="dxa"/>
                  <w:noWrap w:val="0"/>
                  <w:vAlign w:val="center"/>
                </w:tcPr>
                <w:p>
                  <w:pPr>
                    <w:widowControl/>
                    <w:snapToGrid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TSP</w:t>
                  </w:r>
                </w:p>
              </w:tc>
              <w:tc>
                <w:tcPr>
                  <w:tcW w:w="1876" w:type="dxa"/>
                  <w:noWrap w:val="0"/>
                  <w:vAlign w:val="center"/>
                </w:tcPr>
                <w:p>
                  <w:pPr>
                    <w:widowControl/>
                    <w:snapToGrid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24小时平均浓度</w:t>
                  </w:r>
                </w:p>
              </w:tc>
              <w:tc>
                <w:tcPr>
                  <w:tcW w:w="1115" w:type="dxa"/>
                  <w:noWrap w:val="0"/>
                  <w:vAlign w:val="center"/>
                </w:tcPr>
                <w:p>
                  <w:pPr>
                    <w:widowControl/>
                    <w:snapToGrid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0.3</w:t>
                  </w:r>
                </w:p>
              </w:tc>
              <w:tc>
                <w:tcPr>
                  <w:tcW w:w="1526" w:type="dxa"/>
                  <w:noWrap w:val="0"/>
                  <w:vAlign w:val="center"/>
                </w:tcPr>
                <w:p>
                  <w:pPr>
                    <w:widowControl/>
                    <w:snapToGrid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0.</w:t>
                  </w:r>
                  <w:r>
                    <w:rPr>
                      <w:rFonts w:hint="eastAsia" w:ascii="Times New Roman" w:hAnsi="Times New Roman" w:cs="Times New Roman"/>
                      <w:color w:val="auto"/>
                      <w:kern w:val="0"/>
                      <w:sz w:val="21"/>
                      <w:szCs w:val="21"/>
                      <w:highlight w:val="none"/>
                      <w:lang w:val="en-US" w:eastAsia="zh-CN" w:bidi="ar"/>
                    </w:rPr>
                    <w:t>069</w:t>
                  </w:r>
                  <w:r>
                    <w:rPr>
                      <w:rFonts w:hint="default" w:ascii="Times New Roman" w:hAnsi="Times New Roman" w:cs="Times New Roman"/>
                      <w:color w:val="auto"/>
                      <w:kern w:val="0"/>
                      <w:sz w:val="21"/>
                      <w:szCs w:val="21"/>
                      <w:highlight w:val="none"/>
                      <w:lang w:val="en-US" w:eastAsia="zh-CN" w:bidi="ar"/>
                    </w:rPr>
                    <w:t>~0.</w:t>
                  </w:r>
                  <w:r>
                    <w:rPr>
                      <w:rFonts w:hint="eastAsia" w:ascii="Times New Roman" w:hAnsi="Times New Roman" w:cs="Times New Roman"/>
                      <w:color w:val="auto"/>
                      <w:kern w:val="0"/>
                      <w:sz w:val="21"/>
                      <w:szCs w:val="21"/>
                      <w:highlight w:val="none"/>
                      <w:lang w:val="en-US" w:eastAsia="zh-CN" w:bidi="ar"/>
                    </w:rPr>
                    <w:t>148</w:t>
                  </w:r>
                </w:p>
              </w:tc>
              <w:tc>
                <w:tcPr>
                  <w:tcW w:w="846" w:type="dxa"/>
                  <w:noWrap w:val="0"/>
                  <w:vAlign w:val="center"/>
                </w:tcPr>
                <w:p>
                  <w:pPr>
                    <w:widowControl/>
                    <w:snapToGrid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eastAsia="zh-CN" w:bidi="ar"/>
                    </w:rPr>
                    <w:t>0</w:t>
                  </w:r>
                </w:p>
              </w:tc>
              <w:tc>
                <w:tcPr>
                  <w:tcW w:w="872" w:type="dxa"/>
                  <w:noWrap w:val="0"/>
                  <w:vAlign w:val="center"/>
                </w:tcPr>
                <w:p>
                  <w:pPr>
                    <w:widowControl/>
                    <w:snapToGrid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eastAsia="zh-CN" w:bidi="ar"/>
                    </w:rPr>
                    <w:t>——</w:t>
                  </w:r>
                </w:p>
              </w:tc>
              <w:tc>
                <w:tcPr>
                  <w:tcW w:w="1577" w:type="dxa"/>
                  <w:noWrap w:val="0"/>
                  <w:vAlign w:val="center"/>
                </w:tcPr>
                <w:p>
                  <w:pPr>
                    <w:widowControl/>
                    <w:snapToGrid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0.</w:t>
                  </w:r>
                  <w:r>
                    <w:rPr>
                      <w:rFonts w:hint="eastAsia" w:ascii="Times New Roman" w:hAnsi="Times New Roman" w:cs="Times New Roman"/>
                      <w:color w:val="auto"/>
                      <w:kern w:val="0"/>
                      <w:sz w:val="21"/>
                      <w:szCs w:val="21"/>
                      <w:highlight w:val="none"/>
                      <w:lang w:val="en-US" w:eastAsia="zh-CN" w:bidi="ar"/>
                    </w:rPr>
                    <w:t>23</w:t>
                  </w:r>
                  <w:r>
                    <w:rPr>
                      <w:rFonts w:hint="default" w:ascii="Times New Roman" w:hAnsi="Times New Roman" w:cs="Times New Roman"/>
                      <w:color w:val="auto"/>
                      <w:kern w:val="0"/>
                      <w:sz w:val="21"/>
                      <w:szCs w:val="21"/>
                      <w:highlight w:val="none"/>
                      <w:lang w:val="en-US" w:eastAsia="zh-CN" w:bidi="ar"/>
                    </w:rPr>
                    <w:t>~0.</w:t>
                  </w:r>
                  <w:r>
                    <w:rPr>
                      <w:rFonts w:hint="eastAsia" w:ascii="Times New Roman" w:hAnsi="Times New Roman" w:cs="Times New Roman"/>
                      <w:color w:val="auto"/>
                      <w:kern w:val="0"/>
                      <w:sz w:val="21"/>
                      <w:szCs w:val="21"/>
                      <w:highlight w:val="none"/>
                      <w:lang w:val="en-US" w:eastAsia="zh-CN" w:bidi="ar"/>
                    </w:rPr>
                    <w:t>493</w:t>
                  </w:r>
                </w:p>
              </w:tc>
            </w:tr>
          </w:tbl>
          <w:p>
            <w:pPr>
              <w:suppressAutoHyphens/>
              <w:topLinePunct/>
              <w:spacing w:line="480" w:lineRule="exact"/>
              <w:ind w:firstLine="480" w:firstLineChars="200"/>
              <w:jc w:val="left"/>
              <w:rPr>
                <w:rFonts w:hint="default" w:ascii="Times New Roman" w:hAnsi="Times New Roman" w:cs="Times New Roman"/>
                <w:color w:val="auto"/>
                <w:sz w:val="24"/>
                <w:highlight w:val="none"/>
              </w:rPr>
            </w:pPr>
            <w:r>
              <w:rPr>
                <w:rFonts w:hint="eastAsia" w:ascii="Times New Roman" w:hAnsi="Times New Roman" w:cs="Times New Roman"/>
                <w:color w:val="auto"/>
                <w:kern w:val="0"/>
                <w:sz w:val="24"/>
                <w:highlight w:val="none"/>
                <w:lang w:val="en-US" w:eastAsia="zh-CN"/>
              </w:rPr>
              <w:t>根据检测报告可知，</w:t>
            </w:r>
            <w:r>
              <w:rPr>
                <w:rFonts w:hint="default" w:ascii="Times New Roman" w:hAnsi="Times New Roman" w:cs="Times New Roman"/>
                <w:color w:val="auto"/>
                <w:sz w:val="24"/>
                <w:highlight w:val="none"/>
                <w:lang w:val="en-US" w:eastAsia="zh-CN"/>
              </w:rPr>
              <w:t>TSP</w:t>
            </w:r>
            <w:r>
              <w:rPr>
                <w:rFonts w:hint="default" w:ascii="Times New Roman" w:hAnsi="Times New Roman" w:cs="Times New Roman"/>
                <w:color w:val="auto"/>
                <w:sz w:val="24"/>
                <w:highlight w:val="none"/>
                <w:lang w:eastAsia="zh-CN"/>
              </w:rPr>
              <w:t>满足</w:t>
            </w:r>
            <w:r>
              <w:rPr>
                <w:rFonts w:hint="default" w:ascii="Times New Roman" w:hAnsi="Times New Roman" w:cs="Times New Roman"/>
                <w:color w:val="auto"/>
                <w:sz w:val="24"/>
                <w:highlight w:val="none"/>
              </w:rPr>
              <w:t>《环境空气质量标准》（GB3095-2012）（修改单）二级标准。</w:t>
            </w:r>
          </w:p>
          <w:p>
            <w:pPr>
              <w:suppressAutoHyphens/>
              <w:topLinePunct/>
              <w:spacing w:line="480" w:lineRule="exact"/>
              <w:ind w:firstLine="480" w:firstLineChars="200"/>
              <w:jc w:val="left"/>
              <w:rPr>
                <w:color w:val="auto"/>
                <w:sz w:val="24"/>
                <w:highlight w:val="none"/>
              </w:rPr>
            </w:pPr>
            <w:r>
              <w:rPr>
                <w:color w:val="auto"/>
                <w:sz w:val="24"/>
                <w:highlight w:val="none"/>
              </w:rPr>
              <w:t>（2）水环境质量现状</w:t>
            </w:r>
          </w:p>
          <w:p>
            <w:pPr>
              <w:autoSpaceDE w:val="0"/>
              <w:autoSpaceDN w:val="0"/>
              <w:adjustRightInd w:val="0"/>
              <w:spacing w:line="480" w:lineRule="exact"/>
              <w:ind w:firstLine="496" w:firstLineChars="200"/>
              <w:jc w:val="left"/>
              <w:rPr>
                <w:color w:val="auto"/>
                <w:spacing w:val="4"/>
                <w:kern w:val="0"/>
                <w:sz w:val="24"/>
                <w:highlight w:val="none"/>
              </w:rPr>
            </w:pPr>
            <w:r>
              <w:rPr>
                <w:color w:val="auto"/>
                <w:spacing w:val="4"/>
                <w:kern w:val="0"/>
                <w:sz w:val="24"/>
                <w:highlight w:val="none"/>
              </w:rPr>
              <w:t>区域地下水</w:t>
            </w:r>
            <w:r>
              <w:rPr>
                <w:rFonts w:hint="eastAsia"/>
                <w:color w:val="auto"/>
                <w:spacing w:val="4"/>
                <w:kern w:val="0"/>
                <w:sz w:val="24"/>
                <w:highlight w:val="none"/>
                <w:lang w:eastAsia="zh-CN"/>
              </w:rPr>
              <w:t>均</w:t>
            </w:r>
            <w:r>
              <w:rPr>
                <w:color w:val="auto"/>
                <w:spacing w:val="4"/>
                <w:kern w:val="0"/>
                <w:sz w:val="24"/>
                <w:highlight w:val="none"/>
              </w:rPr>
              <w:t>可满</w:t>
            </w:r>
            <w:r>
              <w:rPr>
                <w:color w:val="auto"/>
                <w:sz w:val="24"/>
                <w:highlight w:val="none"/>
              </w:rPr>
              <w:t>足《地下水质量标准》（GB/T14848-2017）III类标准的要</w:t>
            </w:r>
            <w:r>
              <w:rPr>
                <w:color w:val="auto"/>
                <w:spacing w:val="4"/>
                <w:kern w:val="0"/>
                <w:sz w:val="24"/>
                <w:highlight w:val="none"/>
              </w:rPr>
              <w:t>求。</w:t>
            </w:r>
          </w:p>
          <w:p>
            <w:pPr>
              <w:pStyle w:val="48"/>
              <w:ind w:firstLine="480"/>
              <w:jc w:val="left"/>
              <w:rPr>
                <w:rFonts w:cs="Times New Roman"/>
                <w:color w:val="auto"/>
                <w:highlight w:val="none"/>
              </w:rPr>
            </w:pPr>
            <w:r>
              <w:rPr>
                <w:rFonts w:cs="Times New Roman"/>
                <w:color w:val="auto"/>
                <w:highlight w:val="none"/>
              </w:rPr>
              <w:t>（3）声环境质量现状</w:t>
            </w:r>
          </w:p>
          <w:p>
            <w:pPr>
              <w:suppressAutoHyphens/>
              <w:topLinePunct/>
              <w:spacing w:line="480" w:lineRule="exact"/>
              <w:ind w:firstLine="496" w:firstLineChars="200"/>
              <w:jc w:val="left"/>
              <w:rPr>
                <w:color w:val="auto"/>
                <w:sz w:val="24"/>
                <w:highlight w:val="none"/>
              </w:rPr>
            </w:pPr>
            <w:r>
              <w:rPr>
                <w:color w:val="auto"/>
                <w:spacing w:val="4"/>
                <w:kern w:val="0"/>
                <w:sz w:val="24"/>
                <w:highlight w:val="none"/>
              </w:rPr>
              <w:t>区域内声环境质量较好，厂界可满足《声环境质量标准》（GB3096－2008）中</w:t>
            </w:r>
            <w:r>
              <w:rPr>
                <w:rFonts w:hint="eastAsia"/>
                <w:color w:val="auto"/>
                <w:spacing w:val="4"/>
                <w:kern w:val="0"/>
                <w:sz w:val="24"/>
                <w:highlight w:val="none"/>
                <w:lang w:val="en-US" w:eastAsia="zh-CN"/>
              </w:rPr>
              <w:t>3</w:t>
            </w:r>
            <w:r>
              <w:rPr>
                <w:color w:val="auto"/>
                <w:spacing w:val="4"/>
                <w:kern w:val="0"/>
                <w:sz w:val="24"/>
                <w:highlight w:val="none"/>
              </w:rPr>
              <w:t>类标准要求。</w:t>
            </w: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pStyle w:val="40"/>
              <w:rPr>
                <w:rFonts w:hint="eastAsia"/>
                <w:color w:val="auto"/>
                <w:sz w:val="24"/>
                <w:szCs w:val="24"/>
                <w:highlight w:val="none"/>
              </w:rPr>
            </w:pPr>
          </w:p>
          <w:p>
            <w:pPr>
              <w:spacing w:line="360" w:lineRule="auto"/>
              <w:ind w:firstLine="480" w:firstLineChars="200"/>
              <w:rPr>
                <w:rFonts w:hint="eastAsia" w:eastAsia="宋体"/>
                <w:color w:val="auto"/>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4" w:hRule="atLeast"/>
          <w:jc w:val="center"/>
        </w:trPr>
        <w:tc>
          <w:tcPr>
            <w:tcW w:w="9401" w:type="dxa"/>
            <w:tcBorders>
              <w:top w:val="single" w:color="auto" w:sz="4" w:space="0"/>
              <w:left w:val="single" w:color="auto" w:sz="4" w:space="0"/>
              <w:bottom w:val="single" w:color="auto" w:sz="4" w:space="0"/>
              <w:right w:val="single" w:color="auto" w:sz="4" w:space="0"/>
            </w:tcBorders>
          </w:tcPr>
          <w:p>
            <w:pPr>
              <w:pStyle w:val="11"/>
              <w:spacing w:line="420" w:lineRule="exact"/>
              <w:rPr>
                <w:color w:val="auto"/>
                <w:highlight w:val="none"/>
              </w:rPr>
            </w:pPr>
            <w:r>
              <w:rPr>
                <w:color w:val="auto"/>
                <w:highlight w:val="none"/>
              </w:rPr>
              <w:t>主要环境保护目标(列出名单及保护级别)：</w:t>
            </w:r>
          </w:p>
          <w:p>
            <w:pPr>
              <w:spacing w:line="360" w:lineRule="auto"/>
              <w:ind w:firstLine="480" w:firstLineChars="200"/>
              <w:rPr>
                <w:color w:val="auto"/>
                <w:highlight w:val="none"/>
              </w:rPr>
            </w:pPr>
            <w:r>
              <w:rPr>
                <w:color w:val="auto"/>
                <w:sz w:val="24"/>
                <w:highlight w:val="none"/>
              </w:rPr>
              <w:t>项目区域内没有重点保护文物和珍稀动植物资源。根据工程性质和周围环境特征，确定环境保护目标和保护级别见表1</w:t>
            </w:r>
            <w:r>
              <w:rPr>
                <w:rFonts w:hint="eastAsia"/>
                <w:color w:val="auto"/>
                <w:sz w:val="24"/>
                <w:highlight w:val="none"/>
                <w:lang w:val="en-US" w:eastAsia="zh-CN"/>
              </w:rPr>
              <w:t>4</w:t>
            </w:r>
            <w:r>
              <w:rPr>
                <w:color w:val="auto"/>
                <w:sz w:val="24"/>
                <w:highlight w:val="none"/>
              </w:rPr>
              <w:t>。</w:t>
            </w:r>
          </w:p>
          <w:p>
            <w:pPr>
              <w:widowControl/>
              <w:adjustRightInd w:val="0"/>
              <w:snapToGrid w:val="0"/>
              <w:ind w:firstLine="482" w:firstLineChars="200"/>
              <w:jc w:val="center"/>
              <w:rPr>
                <w:b/>
                <w:bCs/>
                <w:color w:val="auto"/>
                <w:sz w:val="24"/>
                <w:highlight w:val="none"/>
              </w:rPr>
            </w:pPr>
            <w:r>
              <w:rPr>
                <w:b/>
                <w:bCs/>
                <w:color w:val="auto"/>
                <w:sz w:val="24"/>
                <w:highlight w:val="none"/>
              </w:rPr>
              <w:t>表1</w:t>
            </w:r>
            <w:r>
              <w:rPr>
                <w:rFonts w:hint="eastAsia"/>
                <w:b/>
                <w:bCs/>
                <w:color w:val="auto"/>
                <w:sz w:val="24"/>
                <w:highlight w:val="none"/>
                <w:lang w:val="en-US" w:eastAsia="zh-CN"/>
              </w:rPr>
              <w:t>4</w:t>
            </w:r>
            <w:r>
              <w:rPr>
                <w:b/>
                <w:bCs/>
                <w:color w:val="auto"/>
                <w:sz w:val="24"/>
                <w:highlight w:val="none"/>
              </w:rPr>
              <w:t xml:space="preserve">    环境保护目标及保护等级一览表</w:t>
            </w:r>
          </w:p>
          <w:tbl>
            <w:tblPr>
              <w:tblStyle w:val="31"/>
              <w:tblW w:w="89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93"/>
              <w:gridCol w:w="767"/>
              <w:gridCol w:w="974"/>
              <w:gridCol w:w="1376"/>
              <w:gridCol w:w="573"/>
              <w:gridCol w:w="1947"/>
              <w:gridCol w:w="858"/>
              <w:gridCol w:w="919"/>
              <w:gridCol w:w="94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93" w:type="dxa"/>
                  <w:vMerge w:val="restart"/>
                  <w:vAlign w:val="center"/>
                </w:tcPr>
                <w:p>
                  <w:pPr>
                    <w:spacing w:line="0" w:lineRule="atLeast"/>
                    <w:jc w:val="center"/>
                    <w:rPr>
                      <w:color w:val="auto"/>
                      <w:sz w:val="21"/>
                      <w:szCs w:val="21"/>
                      <w:highlight w:val="none"/>
                    </w:rPr>
                  </w:pPr>
                  <w:r>
                    <w:rPr>
                      <w:rFonts w:hint="eastAsia"/>
                      <w:color w:val="auto"/>
                      <w:sz w:val="21"/>
                      <w:szCs w:val="21"/>
                      <w:highlight w:val="none"/>
                    </w:rPr>
                    <w:t>名称</w:t>
                  </w:r>
                </w:p>
              </w:tc>
              <w:tc>
                <w:tcPr>
                  <w:tcW w:w="1741" w:type="dxa"/>
                  <w:gridSpan w:val="2"/>
                  <w:vAlign w:val="center"/>
                </w:tcPr>
                <w:p>
                  <w:pPr>
                    <w:spacing w:line="0" w:lineRule="atLeast"/>
                    <w:jc w:val="center"/>
                    <w:rPr>
                      <w:color w:val="auto"/>
                      <w:sz w:val="21"/>
                      <w:szCs w:val="21"/>
                      <w:highlight w:val="none"/>
                    </w:rPr>
                  </w:pPr>
                  <w:r>
                    <w:rPr>
                      <w:rFonts w:hint="eastAsia"/>
                      <w:color w:val="auto"/>
                      <w:sz w:val="21"/>
                      <w:szCs w:val="21"/>
                      <w:highlight w:val="none"/>
                    </w:rPr>
                    <w:t>坐标</w:t>
                  </w:r>
                </w:p>
              </w:tc>
              <w:tc>
                <w:tcPr>
                  <w:tcW w:w="1376" w:type="dxa"/>
                  <w:vMerge w:val="restart"/>
                  <w:vAlign w:val="center"/>
                </w:tcPr>
                <w:p>
                  <w:pPr>
                    <w:spacing w:line="0" w:lineRule="atLeast"/>
                    <w:jc w:val="center"/>
                    <w:rPr>
                      <w:color w:val="auto"/>
                      <w:sz w:val="21"/>
                      <w:szCs w:val="21"/>
                      <w:highlight w:val="none"/>
                    </w:rPr>
                  </w:pPr>
                  <w:r>
                    <w:rPr>
                      <w:color w:val="auto"/>
                      <w:sz w:val="21"/>
                      <w:szCs w:val="21"/>
                      <w:highlight w:val="none"/>
                    </w:rPr>
                    <w:t>保护对象</w:t>
                  </w:r>
                </w:p>
              </w:tc>
              <w:tc>
                <w:tcPr>
                  <w:tcW w:w="573" w:type="dxa"/>
                  <w:vMerge w:val="restart"/>
                  <w:vAlign w:val="center"/>
                </w:tcPr>
                <w:p>
                  <w:pPr>
                    <w:spacing w:line="0" w:lineRule="atLeast"/>
                    <w:jc w:val="center"/>
                    <w:rPr>
                      <w:color w:val="auto"/>
                      <w:sz w:val="21"/>
                      <w:szCs w:val="21"/>
                      <w:highlight w:val="none"/>
                    </w:rPr>
                  </w:pPr>
                  <w:r>
                    <w:rPr>
                      <w:rFonts w:hint="eastAsia"/>
                      <w:color w:val="auto"/>
                      <w:sz w:val="21"/>
                      <w:szCs w:val="21"/>
                      <w:highlight w:val="none"/>
                    </w:rPr>
                    <w:t>保护内容</w:t>
                  </w:r>
                </w:p>
              </w:tc>
              <w:tc>
                <w:tcPr>
                  <w:tcW w:w="1947" w:type="dxa"/>
                  <w:vMerge w:val="restart"/>
                  <w:vAlign w:val="center"/>
                </w:tcPr>
                <w:p>
                  <w:pPr>
                    <w:spacing w:line="0" w:lineRule="atLeast"/>
                    <w:jc w:val="center"/>
                    <w:rPr>
                      <w:color w:val="auto"/>
                      <w:sz w:val="21"/>
                      <w:szCs w:val="21"/>
                      <w:highlight w:val="none"/>
                    </w:rPr>
                  </w:pPr>
                  <w:r>
                    <w:rPr>
                      <w:rFonts w:hint="eastAsia"/>
                      <w:color w:val="auto"/>
                      <w:sz w:val="21"/>
                      <w:szCs w:val="21"/>
                      <w:highlight w:val="none"/>
                    </w:rPr>
                    <w:t>环境</w:t>
                  </w:r>
                  <w:r>
                    <w:rPr>
                      <w:color w:val="auto"/>
                      <w:sz w:val="21"/>
                      <w:szCs w:val="21"/>
                      <w:highlight w:val="none"/>
                    </w:rPr>
                    <w:t>功能</w:t>
                  </w:r>
                  <w:r>
                    <w:rPr>
                      <w:rFonts w:hint="eastAsia"/>
                      <w:color w:val="auto"/>
                      <w:sz w:val="21"/>
                      <w:szCs w:val="21"/>
                      <w:highlight w:val="none"/>
                    </w:rPr>
                    <w:t>区</w:t>
                  </w:r>
                </w:p>
              </w:tc>
              <w:tc>
                <w:tcPr>
                  <w:tcW w:w="858" w:type="dxa"/>
                  <w:vMerge w:val="restart"/>
                  <w:vAlign w:val="center"/>
                </w:tcPr>
                <w:p>
                  <w:pPr>
                    <w:spacing w:line="0" w:lineRule="atLeast"/>
                    <w:jc w:val="center"/>
                    <w:rPr>
                      <w:color w:val="auto"/>
                      <w:sz w:val="21"/>
                      <w:szCs w:val="21"/>
                      <w:highlight w:val="none"/>
                    </w:rPr>
                  </w:pPr>
                  <w:r>
                    <w:rPr>
                      <w:rFonts w:hint="eastAsia"/>
                      <w:color w:val="auto"/>
                      <w:sz w:val="21"/>
                      <w:szCs w:val="21"/>
                      <w:highlight w:val="none"/>
                    </w:rPr>
                    <w:t>相对厂址</w:t>
                  </w:r>
                  <w:r>
                    <w:rPr>
                      <w:color w:val="auto"/>
                      <w:sz w:val="21"/>
                      <w:szCs w:val="21"/>
                      <w:highlight w:val="none"/>
                    </w:rPr>
                    <w:t>方位</w:t>
                  </w:r>
                </w:p>
              </w:tc>
              <w:tc>
                <w:tcPr>
                  <w:tcW w:w="919" w:type="dxa"/>
                  <w:vMerge w:val="restart"/>
                  <w:vAlign w:val="center"/>
                </w:tcPr>
                <w:p>
                  <w:pPr>
                    <w:spacing w:line="0" w:lineRule="atLeast"/>
                    <w:jc w:val="center"/>
                    <w:rPr>
                      <w:color w:val="auto"/>
                      <w:sz w:val="21"/>
                      <w:szCs w:val="21"/>
                      <w:highlight w:val="none"/>
                    </w:rPr>
                  </w:pPr>
                  <w:r>
                    <w:rPr>
                      <w:rFonts w:hint="eastAsia"/>
                      <w:color w:val="auto"/>
                      <w:sz w:val="21"/>
                      <w:szCs w:val="21"/>
                      <w:highlight w:val="none"/>
                    </w:rPr>
                    <w:t>人口情况（人）</w:t>
                  </w:r>
                </w:p>
              </w:tc>
              <w:tc>
                <w:tcPr>
                  <w:tcW w:w="941" w:type="dxa"/>
                  <w:vMerge w:val="restart"/>
                  <w:vAlign w:val="center"/>
                </w:tcPr>
                <w:p>
                  <w:pPr>
                    <w:spacing w:line="0" w:lineRule="atLeast"/>
                    <w:jc w:val="center"/>
                    <w:rPr>
                      <w:rFonts w:hint="eastAsia" w:eastAsia="宋体"/>
                      <w:color w:val="auto"/>
                      <w:sz w:val="21"/>
                      <w:szCs w:val="21"/>
                      <w:highlight w:val="none"/>
                      <w:lang w:eastAsia="zh-CN"/>
                    </w:rPr>
                  </w:pPr>
                  <w:r>
                    <w:rPr>
                      <w:rFonts w:hint="eastAsia"/>
                      <w:color w:val="auto"/>
                      <w:sz w:val="21"/>
                      <w:szCs w:val="21"/>
                      <w:highlight w:val="none"/>
                    </w:rPr>
                    <w:t>相对厂界距离</w:t>
                  </w:r>
                  <w:r>
                    <w:rPr>
                      <w:rFonts w:hint="eastAsia"/>
                      <w:color w:val="auto"/>
                      <w:sz w:val="21"/>
                      <w:szCs w:val="21"/>
                      <w:highlight w:val="none"/>
                      <w:lang w:eastAsia="zh-CN"/>
                    </w:rPr>
                    <w:t>（</w:t>
                  </w:r>
                  <w:r>
                    <w:rPr>
                      <w:rFonts w:hint="eastAsia"/>
                      <w:color w:val="auto"/>
                      <w:sz w:val="21"/>
                      <w:szCs w:val="21"/>
                      <w:highlight w:val="none"/>
                      <w:lang w:val="en-US" w:eastAsia="zh-CN"/>
                    </w:rPr>
                    <w:t>m</w:t>
                  </w:r>
                  <w:r>
                    <w:rPr>
                      <w:rFonts w:hint="eastAsia"/>
                      <w:color w:val="auto"/>
                      <w:sz w:val="21"/>
                      <w:szCs w:val="21"/>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1" w:hRule="atLeast"/>
                <w:jc w:val="center"/>
              </w:trPr>
              <w:tc>
                <w:tcPr>
                  <w:tcW w:w="593" w:type="dxa"/>
                  <w:vMerge w:val="continue"/>
                  <w:vAlign w:val="center"/>
                </w:tcPr>
                <w:p>
                  <w:pPr>
                    <w:spacing w:line="0" w:lineRule="atLeast"/>
                    <w:jc w:val="center"/>
                    <w:rPr>
                      <w:color w:val="auto"/>
                      <w:sz w:val="21"/>
                      <w:szCs w:val="21"/>
                      <w:highlight w:val="none"/>
                    </w:rPr>
                  </w:pPr>
                </w:p>
              </w:tc>
              <w:tc>
                <w:tcPr>
                  <w:tcW w:w="767" w:type="dxa"/>
                  <w:vAlign w:val="center"/>
                </w:tcPr>
                <w:p>
                  <w:pPr>
                    <w:spacing w:line="0" w:lineRule="atLeast"/>
                    <w:jc w:val="center"/>
                    <w:rPr>
                      <w:color w:val="auto"/>
                      <w:sz w:val="21"/>
                      <w:szCs w:val="21"/>
                      <w:highlight w:val="none"/>
                    </w:rPr>
                  </w:pPr>
                  <w:r>
                    <w:rPr>
                      <w:rFonts w:hint="eastAsia"/>
                      <w:color w:val="auto"/>
                      <w:sz w:val="21"/>
                      <w:szCs w:val="21"/>
                      <w:highlight w:val="none"/>
                    </w:rPr>
                    <w:t>X</w:t>
                  </w:r>
                </w:p>
              </w:tc>
              <w:tc>
                <w:tcPr>
                  <w:tcW w:w="974" w:type="dxa"/>
                  <w:vAlign w:val="center"/>
                </w:tcPr>
                <w:p>
                  <w:pPr>
                    <w:spacing w:line="0" w:lineRule="atLeast"/>
                    <w:jc w:val="center"/>
                    <w:rPr>
                      <w:color w:val="auto"/>
                      <w:sz w:val="21"/>
                      <w:szCs w:val="21"/>
                      <w:highlight w:val="none"/>
                    </w:rPr>
                  </w:pPr>
                  <w:r>
                    <w:rPr>
                      <w:rFonts w:hint="eastAsia"/>
                      <w:color w:val="auto"/>
                      <w:sz w:val="21"/>
                      <w:szCs w:val="21"/>
                      <w:highlight w:val="none"/>
                    </w:rPr>
                    <w:t>Y</w:t>
                  </w:r>
                </w:p>
              </w:tc>
              <w:tc>
                <w:tcPr>
                  <w:tcW w:w="1376" w:type="dxa"/>
                  <w:vMerge w:val="continue"/>
                  <w:vAlign w:val="center"/>
                </w:tcPr>
                <w:p>
                  <w:pPr>
                    <w:spacing w:line="0" w:lineRule="atLeast"/>
                    <w:jc w:val="center"/>
                    <w:rPr>
                      <w:color w:val="auto"/>
                      <w:sz w:val="21"/>
                      <w:szCs w:val="21"/>
                      <w:highlight w:val="none"/>
                    </w:rPr>
                  </w:pP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Merge w:val="continue"/>
                  <w:vAlign w:val="center"/>
                </w:tcPr>
                <w:p>
                  <w:pPr>
                    <w:spacing w:line="0" w:lineRule="atLeast"/>
                    <w:jc w:val="center"/>
                    <w:rPr>
                      <w:color w:val="auto"/>
                      <w:sz w:val="21"/>
                      <w:szCs w:val="21"/>
                      <w:highlight w:val="none"/>
                    </w:rPr>
                  </w:pPr>
                </w:p>
              </w:tc>
              <w:tc>
                <w:tcPr>
                  <w:tcW w:w="919" w:type="dxa"/>
                  <w:vMerge w:val="continue"/>
                  <w:vAlign w:val="center"/>
                </w:tcPr>
                <w:p>
                  <w:pPr>
                    <w:spacing w:line="0" w:lineRule="atLeast"/>
                    <w:jc w:val="center"/>
                    <w:rPr>
                      <w:color w:val="auto"/>
                      <w:sz w:val="21"/>
                      <w:szCs w:val="21"/>
                      <w:highlight w:val="none"/>
                    </w:rPr>
                  </w:pPr>
                </w:p>
              </w:tc>
              <w:tc>
                <w:tcPr>
                  <w:tcW w:w="941" w:type="dxa"/>
                  <w:vMerge w:val="continue"/>
                  <w:vAlign w:val="center"/>
                </w:tcPr>
                <w:p>
                  <w:pPr>
                    <w:spacing w:line="0" w:lineRule="atLeast"/>
                    <w:jc w:val="center"/>
                    <w:rPr>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Merge w:val="restart"/>
                  <w:vAlign w:val="center"/>
                </w:tcPr>
                <w:p>
                  <w:pPr>
                    <w:spacing w:line="0" w:lineRule="atLeast"/>
                    <w:jc w:val="center"/>
                    <w:rPr>
                      <w:color w:val="auto"/>
                      <w:spacing w:val="-16"/>
                      <w:sz w:val="21"/>
                      <w:szCs w:val="21"/>
                      <w:highlight w:val="none"/>
                    </w:rPr>
                  </w:pPr>
                </w:p>
                <w:p>
                  <w:pPr>
                    <w:spacing w:line="0" w:lineRule="atLeast"/>
                    <w:jc w:val="center"/>
                    <w:rPr>
                      <w:color w:val="auto"/>
                      <w:spacing w:val="-16"/>
                      <w:sz w:val="21"/>
                      <w:szCs w:val="21"/>
                      <w:highlight w:val="none"/>
                    </w:rPr>
                  </w:pPr>
                  <w:r>
                    <w:rPr>
                      <w:color w:val="auto"/>
                      <w:spacing w:val="-16"/>
                      <w:sz w:val="21"/>
                      <w:szCs w:val="21"/>
                      <w:highlight w:val="none"/>
                    </w:rPr>
                    <w:t>环境空气</w:t>
                  </w:r>
                </w:p>
              </w:tc>
              <w:tc>
                <w:tcPr>
                  <w:tcW w:w="767"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w:t>
                  </w:r>
                </w:p>
              </w:tc>
              <w:tc>
                <w:tcPr>
                  <w:tcW w:w="974"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900</w:t>
                  </w:r>
                </w:p>
              </w:tc>
              <w:tc>
                <w:tcPr>
                  <w:tcW w:w="1376" w:type="dxa"/>
                  <w:vAlign w:val="center"/>
                </w:tcPr>
                <w:p>
                  <w:pPr>
                    <w:spacing w:line="0" w:lineRule="atLeast"/>
                    <w:jc w:val="center"/>
                    <w:rPr>
                      <w:rFonts w:hint="eastAsia" w:eastAsia="宋体"/>
                      <w:color w:val="auto"/>
                      <w:sz w:val="21"/>
                      <w:szCs w:val="21"/>
                      <w:highlight w:val="none"/>
                      <w:lang w:eastAsia="zh-CN"/>
                    </w:rPr>
                  </w:pPr>
                  <w:r>
                    <w:rPr>
                      <w:rFonts w:hint="eastAsia"/>
                      <w:color w:val="auto"/>
                      <w:sz w:val="21"/>
                      <w:szCs w:val="21"/>
                      <w:highlight w:val="none"/>
                      <w:lang w:val="en-US" w:eastAsia="zh-CN"/>
                    </w:rPr>
                    <w:t>任官营村</w:t>
                  </w:r>
                </w:p>
              </w:tc>
              <w:tc>
                <w:tcPr>
                  <w:tcW w:w="573" w:type="dxa"/>
                  <w:vMerge w:val="restart"/>
                  <w:vAlign w:val="center"/>
                </w:tcPr>
                <w:p>
                  <w:pPr>
                    <w:spacing w:line="0" w:lineRule="atLeast"/>
                    <w:jc w:val="center"/>
                    <w:rPr>
                      <w:color w:val="auto"/>
                      <w:sz w:val="21"/>
                      <w:szCs w:val="21"/>
                      <w:highlight w:val="none"/>
                    </w:rPr>
                  </w:pPr>
                  <w:r>
                    <w:rPr>
                      <w:rFonts w:hint="eastAsia"/>
                      <w:color w:val="auto"/>
                      <w:sz w:val="21"/>
                      <w:szCs w:val="21"/>
                      <w:highlight w:val="none"/>
                    </w:rPr>
                    <w:t>村民</w:t>
                  </w:r>
                </w:p>
              </w:tc>
              <w:tc>
                <w:tcPr>
                  <w:tcW w:w="1947" w:type="dxa"/>
                  <w:vMerge w:val="restart"/>
                  <w:vAlign w:val="center"/>
                </w:tcPr>
                <w:p>
                  <w:pPr>
                    <w:spacing w:line="0" w:lineRule="atLeast"/>
                    <w:jc w:val="center"/>
                    <w:rPr>
                      <w:color w:val="auto"/>
                      <w:sz w:val="21"/>
                      <w:szCs w:val="21"/>
                      <w:highlight w:val="none"/>
                    </w:rPr>
                  </w:pPr>
                  <w:r>
                    <w:rPr>
                      <w:color w:val="auto"/>
                      <w:sz w:val="21"/>
                      <w:szCs w:val="21"/>
                      <w:highlight w:val="none"/>
                    </w:rPr>
                    <w:t>《环境空气质量标准》</w:t>
                  </w:r>
                </w:p>
                <w:p>
                  <w:pPr>
                    <w:spacing w:line="0" w:lineRule="atLeast"/>
                    <w:jc w:val="center"/>
                    <w:rPr>
                      <w:color w:val="auto"/>
                      <w:sz w:val="21"/>
                      <w:szCs w:val="21"/>
                      <w:highlight w:val="none"/>
                    </w:rPr>
                  </w:pPr>
                  <w:r>
                    <w:rPr>
                      <w:color w:val="auto"/>
                      <w:sz w:val="21"/>
                      <w:szCs w:val="21"/>
                      <w:highlight w:val="none"/>
                    </w:rPr>
                    <w:t>(GB3095-2012)及修改单中的二类区</w:t>
                  </w:r>
                </w:p>
              </w:tc>
              <w:tc>
                <w:tcPr>
                  <w:tcW w:w="858"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N</w:t>
                  </w:r>
                </w:p>
              </w:tc>
              <w:tc>
                <w:tcPr>
                  <w:tcW w:w="919"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2200</w:t>
                  </w:r>
                </w:p>
              </w:tc>
              <w:tc>
                <w:tcPr>
                  <w:tcW w:w="941"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900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93" w:type="dxa"/>
                  <w:vMerge w:val="continue"/>
                  <w:vAlign w:val="center"/>
                </w:tcPr>
                <w:p>
                  <w:pPr>
                    <w:spacing w:line="0" w:lineRule="atLeast"/>
                    <w:jc w:val="center"/>
                    <w:rPr>
                      <w:color w:val="auto"/>
                      <w:spacing w:val="-16"/>
                      <w:sz w:val="21"/>
                      <w:szCs w:val="21"/>
                      <w:highlight w:val="none"/>
                    </w:rPr>
                  </w:pPr>
                </w:p>
              </w:tc>
              <w:tc>
                <w:tcPr>
                  <w:tcW w:w="767"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1460</w:t>
                  </w:r>
                </w:p>
              </w:tc>
              <w:tc>
                <w:tcPr>
                  <w:tcW w:w="974"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160</w:t>
                  </w:r>
                </w:p>
              </w:tc>
              <w:tc>
                <w:tcPr>
                  <w:tcW w:w="1376"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毛庄村</w:t>
                  </w: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NE</w:t>
                  </w:r>
                </w:p>
              </w:tc>
              <w:tc>
                <w:tcPr>
                  <w:tcW w:w="919"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847</w:t>
                  </w:r>
                </w:p>
              </w:tc>
              <w:tc>
                <w:tcPr>
                  <w:tcW w:w="941"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1350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Merge w:val="continue"/>
                  <w:vAlign w:val="center"/>
                </w:tcPr>
                <w:p>
                  <w:pPr>
                    <w:spacing w:line="0" w:lineRule="atLeast"/>
                    <w:jc w:val="center"/>
                    <w:rPr>
                      <w:color w:val="auto"/>
                      <w:spacing w:val="-16"/>
                      <w:sz w:val="21"/>
                      <w:szCs w:val="21"/>
                      <w:highlight w:val="none"/>
                    </w:rPr>
                  </w:pPr>
                </w:p>
              </w:tc>
              <w:tc>
                <w:tcPr>
                  <w:tcW w:w="767"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1860</w:t>
                  </w:r>
                </w:p>
              </w:tc>
              <w:tc>
                <w:tcPr>
                  <w:tcW w:w="974"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w:t>
                  </w:r>
                </w:p>
              </w:tc>
              <w:tc>
                <w:tcPr>
                  <w:tcW w:w="1376" w:type="dxa"/>
                  <w:vAlign w:val="center"/>
                </w:tcPr>
                <w:p>
                  <w:pPr>
                    <w:spacing w:line="0" w:lineRule="atLeast"/>
                    <w:jc w:val="center"/>
                    <w:rPr>
                      <w:rFonts w:hint="eastAsia" w:eastAsia="宋体"/>
                      <w:color w:val="auto"/>
                      <w:sz w:val="21"/>
                      <w:szCs w:val="21"/>
                      <w:highlight w:val="none"/>
                      <w:lang w:eastAsia="zh-CN"/>
                    </w:rPr>
                  </w:pPr>
                  <w:r>
                    <w:rPr>
                      <w:rFonts w:hint="eastAsia"/>
                      <w:color w:val="auto"/>
                      <w:sz w:val="21"/>
                      <w:szCs w:val="21"/>
                      <w:highlight w:val="none"/>
                      <w:lang w:eastAsia="zh-CN"/>
                    </w:rPr>
                    <w:t>张官营村</w:t>
                  </w: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E</w:t>
                  </w:r>
                </w:p>
              </w:tc>
              <w:tc>
                <w:tcPr>
                  <w:tcW w:w="919"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1500</w:t>
                  </w:r>
                </w:p>
              </w:tc>
              <w:tc>
                <w:tcPr>
                  <w:tcW w:w="941"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1790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Merge w:val="continue"/>
                  <w:vAlign w:val="center"/>
                </w:tcPr>
                <w:p>
                  <w:pPr>
                    <w:spacing w:line="0" w:lineRule="atLeast"/>
                    <w:jc w:val="center"/>
                    <w:rPr>
                      <w:color w:val="auto"/>
                      <w:spacing w:val="-16"/>
                      <w:sz w:val="21"/>
                      <w:szCs w:val="21"/>
                      <w:highlight w:val="none"/>
                    </w:rPr>
                  </w:pPr>
                </w:p>
              </w:tc>
              <w:tc>
                <w:tcPr>
                  <w:tcW w:w="767" w:type="dxa"/>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0</w:t>
                  </w:r>
                </w:p>
              </w:tc>
              <w:tc>
                <w:tcPr>
                  <w:tcW w:w="974" w:type="dxa"/>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1880</w:t>
                  </w:r>
                </w:p>
              </w:tc>
              <w:tc>
                <w:tcPr>
                  <w:tcW w:w="1376" w:type="dxa"/>
                  <w:vAlign w:val="center"/>
                </w:tcPr>
                <w:p>
                  <w:pPr>
                    <w:spacing w:line="0" w:lineRule="atLeast"/>
                    <w:jc w:val="center"/>
                    <w:rPr>
                      <w:rFonts w:hint="eastAsia"/>
                      <w:color w:val="auto"/>
                      <w:sz w:val="21"/>
                      <w:szCs w:val="21"/>
                      <w:highlight w:val="none"/>
                      <w:lang w:eastAsia="zh-CN"/>
                    </w:rPr>
                  </w:pPr>
                  <w:r>
                    <w:rPr>
                      <w:rFonts w:hint="eastAsia"/>
                      <w:color w:val="auto"/>
                      <w:highlight w:val="none"/>
                      <w:lang w:eastAsia="zh-CN"/>
                    </w:rPr>
                    <w:t>驿南府村</w:t>
                  </w: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E</w:t>
                  </w:r>
                </w:p>
              </w:tc>
              <w:tc>
                <w:tcPr>
                  <w:tcW w:w="919" w:type="dxa"/>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900</w:t>
                  </w:r>
                </w:p>
              </w:tc>
              <w:tc>
                <w:tcPr>
                  <w:tcW w:w="941" w:type="dxa"/>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1880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Merge w:val="continue"/>
                  <w:vAlign w:val="center"/>
                </w:tcPr>
                <w:p>
                  <w:pPr>
                    <w:spacing w:line="0" w:lineRule="atLeast"/>
                    <w:jc w:val="center"/>
                    <w:rPr>
                      <w:color w:val="auto"/>
                      <w:spacing w:val="-16"/>
                      <w:sz w:val="21"/>
                      <w:szCs w:val="21"/>
                      <w:highlight w:val="none"/>
                    </w:rPr>
                  </w:pPr>
                </w:p>
              </w:tc>
              <w:tc>
                <w:tcPr>
                  <w:tcW w:w="767"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w:t>
                  </w:r>
                </w:p>
              </w:tc>
              <w:tc>
                <w:tcPr>
                  <w:tcW w:w="974"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-1500</w:t>
                  </w:r>
                </w:p>
              </w:tc>
              <w:tc>
                <w:tcPr>
                  <w:tcW w:w="1376" w:type="dxa"/>
                  <w:vAlign w:val="center"/>
                </w:tcPr>
                <w:p>
                  <w:pPr>
                    <w:spacing w:line="0" w:lineRule="atLeast"/>
                    <w:jc w:val="center"/>
                    <w:rPr>
                      <w:rFonts w:hint="eastAsia" w:eastAsia="宋体"/>
                      <w:color w:val="auto"/>
                      <w:sz w:val="21"/>
                      <w:szCs w:val="21"/>
                      <w:highlight w:val="none"/>
                      <w:lang w:eastAsia="zh-CN"/>
                    </w:rPr>
                  </w:pPr>
                  <w:r>
                    <w:rPr>
                      <w:rFonts w:hint="eastAsia"/>
                      <w:color w:val="auto"/>
                      <w:sz w:val="21"/>
                      <w:szCs w:val="21"/>
                      <w:highlight w:val="none"/>
                      <w:lang w:eastAsia="zh-CN"/>
                    </w:rPr>
                    <w:t>蚕姑庙村</w:t>
                  </w: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S</w:t>
                  </w:r>
                </w:p>
              </w:tc>
              <w:tc>
                <w:tcPr>
                  <w:tcW w:w="919"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2260</w:t>
                  </w:r>
                </w:p>
              </w:tc>
              <w:tc>
                <w:tcPr>
                  <w:tcW w:w="941"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1270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Merge w:val="continue"/>
                  <w:vAlign w:val="center"/>
                </w:tcPr>
                <w:p>
                  <w:pPr>
                    <w:spacing w:line="0" w:lineRule="atLeast"/>
                    <w:jc w:val="center"/>
                    <w:rPr>
                      <w:color w:val="auto"/>
                      <w:spacing w:val="-16"/>
                      <w:sz w:val="21"/>
                      <w:szCs w:val="21"/>
                      <w:highlight w:val="none"/>
                    </w:rPr>
                  </w:pPr>
                </w:p>
              </w:tc>
              <w:tc>
                <w:tcPr>
                  <w:tcW w:w="767" w:type="dxa"/>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-1730</w:t>
                  </w:r>
                </w:p>
              </w:tc>
              <w:tc>
                <w:tcPr>
                  <w:tcW w:w="974" w:type="dxa"/>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-2250</w:t>
                  </w:r>
                </w:p>
              </w:tc>
              <w:tc>
                <w:tcPr>
                  <w:tcW w:w="1376" w:type="dxa"/>
                  <w:vAlign w:val="center"/>
                </w:tcPr>
                <w:p>
                  <w:pPr>
                    <w:spacing w:line="0" w:lineRule="atLeast"/>
                    <w:jc w:val="center"/>
                    <w:rPr>
                      <w:rFonts w:hint="eastAsia"/>
                      <w:color w:val="auto"/>
                      <w:sz w:val="21"/>
                      <w:szCs w:val="21"/>
                      <w:highlight w:val="none"/>
                      <w:lang w:eastAsia="zh-CN"/>
                    </w:rPr>
                  </w:pPr>
                  <w:r>
                    <w:rPr>
                      <w:rFonts w:hint="eastAsia"/>
                      <w:color w:val="auto"/>
                      <w:sz w:val="21"/>
                      <w:szCs w:val="21"/>
                      <w:highlight w:val="none"/>
                      <w:lang w:val="en-US" w:eastAsia="zh-CN"/>
                    </w:rPr>
                    <w:t>马各庄村</w:t>
                  </w: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SW</w:t>
                  </w:r>
                </w:p>
              </w:tc>
              <w:tc>
                <w:tcPr>
                  <w:tcW w:w="919" w:type="dxa"/>
                  <w:vAlign w:val="center"/>
                </w:tcPr>
                <w:p>
                  <w:pPr>
                    <w:spacing w:line="0" w:lineRule="atLeast"/>
                    <w:jc w:val="center"/>
                    <w:rPr>
                      <w:rFonts w:hint="eastAsia"/>
                      <w:color w:val="auto"/>
                      <w:sz w:val="21"/>
                      <w:szCs w:val="21"/>
                      <w:highlight w:val="none"/>
                      <w:lang w:val="en-US" w:eastAsia="zh-CN"/>
                    </w:rPr>
                  </w:pPr>
                  <w:r>
                    <w:rPr>
                      <w:rFonts w:hint="eastAsia"/>
                      <w:color w:val="auto"/>
                      <w:sz w:val="21"/>
                      <w:szCs w:val="21"/>
                      <w:highlight w:val="none"/>
                      <w:lang w:val="en-US" w:eastAsia="zh-CN"/>
                    </w:rPr>
                    <w:t>1208</w:t>
                  </w:r>
                </w:p>
              </w:tc>
              <w:tc>
                <w:tcPr>
                  <w:tcW w:w="941" w:type="dxa"/>
                  <w:vAlign w:val="center"/>
                </w:tcPr>
                <w:p>
                  <w:pPr>
                    <w:spacing w:line="0" w:lineRule="atLeast"/>
                    <w:jc w:val="center"/>
                    <w:rPr>
                      <w:rFonts w:hint="eastAsia"/>
                      <w:color w:val="auto"/>
                      <w:sz w:val="21"/>
                      <w:szCs w:val="21"/>
                      <w:highlight w:val="none"/>
                      <w:lang w:val="en-US" w:eastAsia="zh-CN"/>
                    </w:rPr>
                  </w:pPr>
                  <w:r>
                    <w:rPr>
                      <w:rFonts w:hint="eastAsia"/>
                      <w:color w:val="auto"/>
                      <w:sz w:val="21"/>
                      <w:szCs w:val="21"/>
                      <w:highlight w:val="none"/>
                      <w:lang w:val="en-US" w:eastAsia="zh-CN"/>
                    </w:rPr>
                    <w:t>2950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Merge w:val="continue"/>
                  <w:vAlign w:val="center"/>
                </w:tcPr>
                <w:p>
                  <w:pPr>
                    <w:spacing w:line="0" w:lineRule="atLeast"/>
                    <w:jc w:val="center"/>
                    <w:rPr>
                      <w:color w:val="auto"/>
                      <w:spacing w:val="-16"/>
                      <w:sz w:val="21"/>
                      <w:szCs w:val="21"/>
                      <w:highlight w:val="none"/>
                    </w:rPr>
                  </w:pPr>
                </w:p>
              </w:tc>
              <w:tc>
                <w:tcPr>
                  <w:tcW w:w="767"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-1180</w:t>
                  </w:r>
                </w:p>
              </w:tc>
              <w:tc>
                <w:tcPr>
                  <w:tcW w:w="974"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-280</w:t>
                  </w:r>
                </w:p>
              </w:tc>
              <w:tc>
                <w:tcPr>
                  <w:tcW w:w="1376" w:type="dxa"/>
                  <w:vAlign w:val="center"/>
                </w:tcPr>
                <w:p>
                  <w:pPr>
                    <w:spacing w:line="0" w:lineRule="atLeast"/>
                    <w:jc w:val="center"/>
                    <w:rPr>
                      <w:rFonts w:hint="eastAsia" w:eastAsia="宋体"/>
                      <w:color w:val="auto"/>
                      <w:sz w:val="21"/>
                      <w:szCs w:val="21"/>
                      <w:highlight w:val="none"/>
                      <w:lang w:eastAsia="zh-CN"/>
                    </w:rPr>
                  </w:pPr>
                  <w:r>
                    <w:rPr>
                      <w:rFonts w:hint="eastAsia"/>
                      <w:color w:val="auto"/>
                      <w:sz w:val="21"/>
                      <w:szCs w:val="21"/>
                      <w:highlight w:val="none"/>
                      <w:lang w:eastAsia="zh-CN"/>
                    </w:rPr>
                    <w:t>洼里村</w:t>
                  </w: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w:t>
                  </w:r>
                </w:p>
              </w:tc>
              <w:tc>
                <w:tcPr>
                  <w:tcW w:w="919"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1734</w:t>
                  </w:r>
                </w:p>
              </w:tc>
              <w:tc>
                <w:tcPr>
                  <w:tcW w:w="941"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1250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Merge w:val="continue"/>
                  <w:vAlign w:val="center"/>
                </w:tcPr>
                <w:p>
                  <w:pPr>
                    <w:spacing w:line="0" w:lineRule="atLeast"/>
                    <w:jc w:val="center"/>
                    <w:rPr>
                      <w:color w:val="auto"/>
                      <w:spacing w:val="-16"/>
                      <w:sz w:val="21"/>
                      <w:szCs w:val="21"/>
                      <w:highlight w:val="none"/>
                    </w:rPr>
                  </w:pPr>
                </w:p>
              </w:tc>
              <w:tc>
                <w:tcPr>
                  <w:tcW w:w="767"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-810</w:t>
                  </w:r>
                </w:p>
              </w:tc>
              <w:tc>
                <w:tcPr>
                  <w:tcW w:w="974"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1000</w:t>
                  </w:r>
                </w:p>
              </w:tc>
              <w:tc>
                <w:tcPr>
                  <w:tcW w:w="1376" w:type="dxa"/>
                  <w:vAlign w:val="center"/>
                </w:tcPr>
                <w:p>
                  <w:pPr>
                    <w:spacing w:line="0" w:lineRule="atLeast"/>
                    <w:jc w:val="center"/>
                    <w:rPr>
                      <w:rFonts w:hint="eastAsia" w:eastAsia="宋体"/>
                      <w:color w:val="auto"/>
                      <w:sz w:val="21"/>
                      <w:szCs w:val="21"/>
                      <w:highlight w:val="none"/>
                      <w:lang w:eastAsia="zh-CN"/>
                    </w:rPr>
                  </w:pPr>
                  <w:r>
                    <w:rPr>
                      <w:rFonts w:hint="eastAsia"/>
                      <w:color w:val="auto"/>
                      <w:sz w:val="21"/>
                      <w:szCs w:val="21"/>
                      <w:highlight w:val="none"/>
                      <w:lang w:eastAsia="zh-CN"/>
                    </w:rPr>
                    <w:t>滨河村社区</w:t>
                  </w: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NW</w:t>
                  </w:r>
                </w:p>
              </w:tc>
              <w:tc>
                <w:tcPr>
                  <w:tcW w:w="919"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22800</w:t>
                  </w:r>
                </w:p>
              </w:tc>
              <w:tc>
                <w:tcPr>
                  <w:tcW w:w="941"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1380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Merge w:val="continue"/>
                  <w:vAlign w:val="center"/>
                </w:tcPr>
                <w:p>
                  <w:pPr>
                    <w:spacing w:line="0" w:lineRule="atLeast"/>
                    <w:jc w:val="center"/>
                    <w:rPr>
                      <w:color w:val="auto"/>
                      <w:spacing w:val="-16"/>
                      <w:sz w:val="21"/>
                      <w:szCs w:val="21"/>
                      <w:highlight w:val="none"/>
                    </w:rPr>
                  </w:pPr>
                </w:p>
              </w:tc>
              <w:tc>
                <w:tcPr>
                  <w:tcW w:w="767"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-810</w:t>
                  </w:r>
                </w:p>
              </w:tc>
              <w:tc>
                <w:tcPr>
                  <w:tcW w:w="974"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1000</w:t>
                  </w:r>
                </w:p>
              </w:tc>
              <w:tc>
                <w:tcPr>
                  <w:tcW w:w="1376" w:type="dxa"/>
                  <w:vAlign w:val="center"/>
                </w:tcPr>
                <w:p>
                  <w:pPr>
                    <w:spacing w:line="0" w:lineRule="atLeast"/>
                    <w:jc w:val="center"/>
                    <w:rPr>
                      <w:rFonts w:hint="eastAsia" w:eastAsia="宋体"/>
                      <w:color w:val="auto"/>
                      <w:sz w:val="21"/>
                      <w:szCs w:val="21"/>
                      <w:highlight w:val="none"/>
                      <w:lang w:eastAsia="zh-CN"/>
                    </w:rPr>
                  </w:pPr>
                  <w:r>
                    <w:rPr>
                      <w:rFonts w:hint="eastAsia"/>
                      <w:color w:val="auto"/>
                      <w:sz w:val="21"/>
                      <w:szCs w:val="21"/>
                      <w:highlight w:val="none"/>
                      <w:lang w:eastAsia="zh-CN"/>
                    </w:rPr>
                    <w:t>迁安市民政局第二敬老院</w:t>
                  </w: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NW</w:t>
                  </w:r>
                </w:p>
              </w:tc>
              <w:tc>
                <w:tcPr>
                  <w:tcW w:w="919"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200</w:t>
                  </w:r>
                </w:p>
              </w:tc>
              <w:tc>
                <w:tcPr>
                  <w:tcW w:w="941"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1380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Merge w:val="continue"/>
                  <w:vAlign w:val="center"/>
                </w:tcPr>
                <w:p>
                  <w:pPr>
                    <w:spacing w:line="0" w:lineRule="atLeast"/>
                    <w:jc w:val="center"/>
                    <w:rPr>
                      <w:color w:val="auto"/>
                      <w:spacing w:val="-16"/>
                      <w:sz w:val="21"/>
                      <w:szCs w:val="21"/>
                      <w:highlight w:val="none"/>
                    </w:rPr>
                  </w:pPr>
                </w:p>
              </w:tc>
              <w:tc>
                <w:tcPr>
                  <w:tcW w:w="767"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-1330</w:t>
                  </w:r>
                </w:p>
              </w:tc>
              <w:tc>
                <w:tcPr>
                  <w:tcW w:w="974"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1010</w:t>
                  </w:r>
                </w:p>
              </w:tc>
              <w:tc>
                <w:tcPr>
                  <w:tcW w:w="1376" w:type="dxa"/>
                  <w:vAlign w:val="center"/>
                </w:tcPr>
                <w:p>
                  <w:pPr>
                    <w:spacing w:line="0" w:lineRule="atLeast"/>
                    <w:jc w:val="center"/>
                    <w:rPr>
                      <w:rFonts w:hint="eastAsia" w:eastAsia="宋体"/>
                      <w:color w:val="auto"/>
                      <w:sz w:val="21"/>
                      <w:szCs w:val="21"/>
                      <w:highlight w:val="none"/>
                      <w:lang w:eastAsia="zh-CN"/>
                    </w:rPr>
                  </w:pPr>
                  <w:r>
                    <w:rPr>
                      <w:rFonts w:hint="eastAsia"/>
                      <w:color w:val="auto"/>
                      <w:sz w:val="21"/>
                      <w:szCs w:val="21"/>
                      <w:highlight w:val="none"/>
                      <w:lang w:eastAsia="zh-CN"/>
                    </w:rPr>
                    <w:t>迁安市杨店子工商局</w:t>
                  </w:r>
                </w:p>
              </w:tc>
              <w:tc>
                <w:tcPr>
                  <w:tcW w:w="573" w:type="dxa"/>
                  <w:vMerge w:val="continue"/>
                  <w:vAlign w:val="center"/>
                </w:tcPr>
                <w:p>
                  <w:pPr>
                    <w:spacing w:line="0" w:lineRule="atLeast"/>
                    <w:jc w:val="center"/>
                    <w:rPr>
                      <w:color w:val="auto"/>
                      <w:sz w:val="21"/>
                      <w:szCs w:val="21"/>
                      <w:highlight w:val="none"/>
                    </w:rPr>
                  </w:pPr>
                </w:p>
              </w:tc>
              <w:tc>
                <w:tcPr>
                  <w:tcW w:w="1947" w:type="dxa"/>
                  <w:vMerge w:val="continue"/>
                  <w:vAlign w:val="center"/>
                </w:tcPr>
                <w:p>
                  <w:pPr>
                    <w:spacing w:line="0" w:lineRule="atLeast"/>
                    <w:jc w:val="center"/>
                    <w:rPr>
                      <w:color w:val="auto"/>
                      <w:sz w:val="21"/>
                      <w:szCs w:val="21"/>
                      <w:highlight w:val="none"/>
                    </w:rPr>
                  </w:pPr>
                </w:p>
              </w:tc>
              <w:tc>
                <w:tcPr>
                  <w:tcW w:w="858"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NW</w:t>
                  </w:r>
                </w:p>
              </w:tc>
              <w:tc>
                <w:tcPr>
                  <w:tcW w:w="919"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30</w:t>
                  </w:r>
                </w:p>
              </w:tc>
              <w:tc>
                <w:tcPr>
                  <w:tcW w:w="941"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1710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Align w:val="center"/>
                </w:tcPr>
                <w:p>
                  <w:pPr>
                    <w:spacing w:line="0" w:lineRule="atLeast"/>
                    <w:jc w:val="center"/>
                    <w:rPr>
                      <w:color w:val="auto"/>
                      <w:sz w:val="21"/>
                      <w:szCs w:val="21"/>
                      <w:highlight w:val="none"/>
                    </w:rPr>
                  </w:pPr>
                  <w:r>
                    <w:rPr>
                      <w:color w:val="auto"/>
                      <w:sz w:val="21"/>
                      <w:szCs w:val="21"/>
                      <w:highlight w:val="none"/>
                    </w:rPr>
                    <w:t>地下水环境</w:t>
                  </w:r>
                </w:p>
              </w:tc>
              <w:tc>
                <w:tcPr>
                  <w:tcW w:w="767" w:type="dxa"/>
                  <w:vAlign w:val="center"/>
                </w:tcPr>
                <w:p>
                  <w:pPr>
                    <w:spacing w:line="0" w:lineRule="atLeast"/>
                    <w:jc w:val="center"/>
                    <w:rPr>
                      <w:color w:val="auto"/>
                      <w:sz w:val="21"/>
                      <w:szCs w:val="21"/>
                      <w:highlight w:val="none"/>
                    </w:rPr>
                  </w:pPr>
                  <w:r>
                    <w:rPr>
                      <w:color w:val="auto"/>
                      <w:sz w:val="21"/>
                      <w:szCs w:val="21"/>
                      <w:highlight w:val="none"/>
                    </w:rPr>
                    <w:t>—</w:t>
                  </w:r>
                </w:p>
              </w:tc>
              <w:tc>
                <w:tcPr>
                  <w:tcW w:w="974" w:type="dxa"/>
                  <w:vAlign w:val="center"/>
                </w:tcPr>
                <w:p>
                  <w:pPr>
                    <w:spacing w:line="0" w:lineRule="atLeast"/>
                    <w:jc w:val="center"/>
                    <w:rPr>
                      <w:color w:val="auto"/>
                      <w:sz w:val="21"/>
                      <w:szCs w:val="21"/>
                      <w:highlight w:val="none"/>
                    </w:rPr>
                  </w:pPr>
                  <w:r>
                    <w:rPr>
                      <w:color w:val="auto"/>
                      <w:sz w:val="21"/>
                      <w:szCs w:val="21"/>
                      <w:highlight w:val="none"/>
                    </w:rPr>
                    <w:t>—</w:t>
                  </w:r>
                </w:p>
              </w:tc>
              <w:tc>
                <w:tcPr>
                  <w:tcW w:w="1376" w:type="dxa"/>
                  <w:vAlign w:val="center"/>
                </w:tcPr>
                <w:p>
                  <w:pPr>
                    <w:spacing w:line="0" w:lineRule="atLeast"/>
                    <w:jc w:val="center"/>
                    <w:rPr>
                      <w:color w:val="auto"/>
                      <w:sz w:val="21"/>
                      <w:szCs w:val="21"/>
                      <w:highlight w:val="none"/>
                    </w:rPr>
                  </w:pPr>
                  <w:r>
                    <w:rPr>
                      <w:rFonts w:hint="eastAsia"/>
                      <w:color w:val="auto"/>
                      <w:sz w:val="21"/>
                      <w:szCs w:val="21"/>
                      <w:highlight w:val="none"/>
                    </w:rPr>
                    <w:t>厂区周围地下水</w:t>
                  </w:r>
                </w:p>
              </w:tc>
              <w:tc>
                <w:tcPr>
                  <w:tcW w:w="573" w:type="dxa"/>
                  <w:vAlign w:val="center"/>
                </w:tcPr>
                <w:p>
                  <w:pPr>
                    <w:spacing w:line="0" w:lineRule="atLeast"/>
                    <w:jc w:val="center"/>
                    <w:rPr>
                      <w:color w:val="auto"/>
                      <w:sz w:val="21"/>
                      <w:szCs w:val="21"/>
                      <w:highlight w:val="none"/>
                    </w:rPr>
                  </w:pPr>
                  <w:r>
                    <w:rPr>
                      <w:rFonts w:hint="eastAsia"/>
                      <w:color w:val="auto"/>
                      <w:sz w:val="21"/>
                      <w:szCs w:val="21"/>
                      <w:highlight w:val="none"/>
                    </w:rPr>
                    <w:t>水井</w:t>
                  </w:r>
                </w:p>
              </w:tc>
              <w:tc>
                <w:tcPr>
                  <w:tcW w:w="1947" w:type="dxa"/>
                  <w:vAlign w:val="center"/>
                </w:tcPr>
                <w:p>
                  <w:pPr>
                    <w:spacing w:line="0" w:lineRule="atLeast"/>
                    <w:jc w:val="center"/>
                    <w:rPr>
                      <w:color w:val="auto"/>
                      <w:sz w:val="21"/>
                      <w:szCs w:val="21"/>
                      <w:highlight w:val="none"/>
                    </w:rPr>
                  </w:pPr>
                  <w:r>
                    <w:rPr>
                      <w:color w:val="auto"/>
                      <w:sz w:val="21"/>
                      <w:szCs w:val="21"/>
                      <w:highlight w:val="none"/>
                    </w:rPr>
                    <w:t>《地下水质量标准》（</w:t>
                  </w:r>
                  <w:r>
                    <w:rPr>
                      <w:rFonts w:hint="eastAsia"/>
                      <w:color w:val="auto"/>
                      <w:sz w:val="21"/>
                      <w:szCs w:val="21"/>
                      <w:highlight w:val="none"/>
                    </w:rPr>
                    <w:t>GB/T14848-2017</w:t>
                  </w:r>
                  <w:r>
                    <w:rPr>
                      <w:color w:val="auto"/>
                      <w:sz w:val="21"/>
                      <w:szCs w:val="21"/>
                      <w:highlight w:val="none"/>
                    </w:rPr>
                    <w:t>）中的</w:t>
                  </w:r>
                  <w:r>
                    <w:rPr>
                      <w:color w:val="auto"/>
                      <w:sz w:val="21"/>
                      <w:szCs w:val="21"/>
                      <w:highlight w:val="none"/>
                    </w:rPr>
                    <w:fldChar w:fldCharType="begin"/>
                  </w:r>
                  <w:r>
                    <w:rPr>
                      <w:color w:val="auto"/>
                      <w:sz w:val="21"/>
                      <w:szCs w:val="21"/>
                      <w:highlight w:val="none"/>
                    </w:rPr>
                    <w:instrText xml:space="preserve"> = 3 \* ROMAN </w:instrText>
                  </w:r>
                  <w:r>
                    <w:rPr>
                      <w:color w:val="auto"/>
                      <w:sz w:val="21"/>
                      <w:szCs w:val="21"/>
                      <w:highlight w:val="none"/>
                    </w:rPr>
                    <w:fldChar w:fldCharType="separate"/>
                  </w:r>
                  <w:r>
                    <w:rPr>
                      <w:color w:val="auto"/>
                      <w:sz w:val="21"/>
                      <w:szCs w:val="21"/>
                      <w:highlight w:val="none"/>
                    </w:rPr>
                    <w:t>III</w:t>
                  </w:r>
                  <w:r>
                    <w:rPr>
                      <w:color w:val="auto"/>
                      <w:sz w:val="21"/>
                      <w:szCs w:val="21"/>
                      <w:highlight w:val="none"/>
                    </w:rPr>
                    <w:fldChar w:fldCharType="end"/>
                  </w:r>
                  <w:r>
                    <w:rPr>
                      <w:color w:val="auto"/>
                      <w:sz w:val="21"/>
                      <w:szCs w:val="21"/>
                      <w:highlight w:val="none"/>
                    </w:rPr>
                    <w:t>类标准</w:t>
                  </w:r>
                </w:p>
              </w:tc>
              <w:tc>
                <w:tcPr>
                  <w:tcW w:w="858" w:type="dxa"/>
                  <w:vAlign w:val="center"/>
                </w:tcPr>
                <w:p>
                  <w:pPr>
                    <w:spacing w:line="0" w:lineRule="atLeast"/>
                    <w:jc w:val="center"/>
                    <w:rPr>
                      <w:color w:val="auto"/>
                      <w:sz w:val="21"/>
                      <w:szCs w:val="21"/>
                      <w:highlight w:val="none"/>
                    </w:rPr>
                  </w:pPr>
                  <w:r>
                    <w:rPr>
                      <w:color w:val="auto"/>
                      <w:sz w:val="21"/>
                      <w:szCs w:val="21"/>
                      <w:highlight w:val="none"/>
                    </w:rPr>
                    <w:t>—</w:t>
                  </w:r>
                </w:p>
              </w:tc>
              <w:tc>
                <w:tcPr>
                  <w:tcW w:w="919" w:type="dxa"/>
                  <w:vAlign w:val="center"/>
                </w:tcPr>
                <w:p>
                  <w:pPr>
                    <w:spacing w:line="0" w:lineRule="atLeast"/>
                    <w:jc w:val="center"/>
                    <w:rPr>
                      <w:color w:val="auto"/>
                      <w:sz w:val="21"/>
                      <w:szCs w:val="21"/>
                      <w:highlight w:val="none"/>
                    </w:rPr>
                  </w:pPr>
                  <w:r>
                    <w:rPr>
                      <w:color w:val="auto"/>
                      <w:sz w:val="21"/>
                      <w:szCs w:val="21"/>
                      <w:highlight w:val="none"/>
                    </w:rPr>
                    <w:t>—</w:t>
                  </w:r>
                </w:p>
              </w:tc>
              <w:tc>
                <w:tcPr>
                  <w:tcW w:w="941" w:type="dxa"/>
                  <w:vAlign w:val="center"/>
                </w:tcPr>
                <w:p>
                  <w:pPr>
                    <w:spacing w:line="0" w:lineRule="atLeast"/>
                    <w:jc w:val="center"/>
                    <w:rPr>
                      <w:color w:val="auto"/>
                      <w:sz w:val="21"/>
                      <w:szCs w:val="21"/>
                      <w:highlight w:val="none"/>
                    </w:rPr>
                  </w:pPr>
                  <w:r>
                    <w:rPr>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Align w:val="center"/>
                </w:tcPr>
                <w:p>
                  <w:pPr>
                    <w:spacing w:line="0" w:lineRule="atLeast"/>
                    <w:jc w:val="center"/>
                    <w:rPr>
                      <w:color w:val="auto"/>
                      <w:sz w:val="21"/>
                      <w:szCs w:val="21"/>
                      <w:highlight w:val="none"/>
                    </w:rPr>
                  </w:pPr>
                  <w:r>
                    <w:rPr>
                      <w:color w:val="auto"/>
                      <w:sz w:val="21"/>
                      <w:szCs w:val="21"/>
                      <w:highlight w:val="none"/>
                    </w:rPr>
                    <w:t>声环境</w:t>
                  </w:r>
                </w:p>
              </w:tc>
              <w:tc>
                <w:tcPr>
                  <w:tcW w:w="767" w:type="dxa"/>
                  <w:vAlign w:val="center"/>
                </w:tcPr>
                <w:p>
                  <w:pPr>
                    <w:spacing w:line="0" w:lineRule="atLeast"/>
                    <w:jc w:val="center"/>
                    <w:rPr>
                      <w:color w:val="auto"/>
                      <w:sz w:val="21"/>
                      <w:szCs w:val="21"/>
                      <w:highlight w:val="none"/>
                    </w:rPr>
                  </w:pPr>
                  <w:r>
                    <w:rPr>
                      <w:color w:val="auto"/>
                      <w:sz w:val="21"/>
                      <w:szCs w:val="21"/>
                      <w:highlight w:val="none"/>
                    </w:rPr>
                    <w:t>厂界</w:t>
                  </w:r>
                </w:p>
              </w:tc>
              <w:tc>
                <w:tcPr>
                  <w:tcW w:w="974" w:type="dxa"/>
                  <w:vAlign w:val="center"/>
                </w:tcPr>
                <w:p>
                  <w:pPr>
                    <w:spacing w:line="0" w:lineRule="atLeast"/>
                    <w:jc w:val="center"/>
                    <w:rPr>
                      <w:color w:val="auto"/>
                      <w:sz w:val="21"/>
                      <w:szCs w:val="21"/>
                      <w:highlight w:val="none"/>
                    </w:rPr>
                  </w:pPr>
                  <w:r>
                    <w:rPr>
                      <w:color w:val="auto"/>
                      <w:sz w:val="21"/>
                      <w:szCs w:val="21"/>
                      <w:highlight w:val="none"/>
                    </w:rPr>
                    <w:t>—</w:t>
                  </w:r>
                </w:p>
              </w:tc>
              <w:tc>
                <w:tcPr>
                  <w:tcW w:w="1376" w:type="dxa"/>
                  <w:vAlign w:val="center"/>
                </w:tcPr>
                <w:p>
                  <w:pPr>
                    <w:spacing w:line="0" w:lineRule="atLeast"/>
                    <w:jc w:val="center"/>
                    <w:rPr>
                      <w:color w:val="auto"/>
                      <w:sz w:val="21"/>
                      <w:szCs w:val="21"/>
                      <w:highlight w:val="none"/>
                    </w:rPr>
                  </w:pPr>
                  <w:r>
                    <w:rPr>
                      <w:rFonts w:hint="eastAsia"/>
                      <w:color w:val="auto"/>
                      <w:sz w:val="21"/>
                      <w:szCs w:val="21"/>
                      <w:highlight w:val="none"/>
                    </w:rPr>
                    <w:t>厂界外</w:t>
                  </w:r>
                  <w:r>
                    <w:rPr>
                      <w:color w:val="auto"/>
                      <w:sz w:val="21"/>
                      <w:szCs w:val="21"/>
                      <w:highlight w:val="none"/>
                    </w:rPr>
                    <w:t>1</w:t>
                  </w:r>
                  <w:r>
                    <w:rPr>
                      <w:rFonts w:hint="eastAsia"/>
                      <w:color w:val="auto"/>
                      <w:sz w:val="21"/>
                      <w:szCs w:val="21"/>
                      <w:highlight w:val="none"/>
                    </w:rPr>
                    <w:t>m</w:t>
                  </w:r>
                </w:p>
              </w:tc>
              <w:tc>
                <w:tcPr>
                  <w:tcW w:w="573" w:type="dxa"/>
                  <w:vAlign w:val="center"/>
                </w:tcPr>
                <w:p>
                  <w:pPr>
                    <w:spacing w:line="0" w:lineRule="atLeast"/>
                    <w:jc w:val="center"/>
                    <w:rPr>
                      <w:color w:val="auto"/>
                      <w:sz w:val="21"/>
                      <w:szCs w:val="21"/>
                      <w:highlight w:val="none"/>
                    </w:rPr>
                  </w:pPr>
                  <w:r>
                    <w:rPr>
                      <w:color w:val="auto"/>
                      <w:sz w:val="21"/>
                      <w:szCs w:val="21"/>
                      <w:highlight w:val="none"/>
                    </w:rPr>
                    <w:t>—</w:t>
                  </w:r>
                </w:p>
              </w:tc>
              <w:tc>
                <w:tcPr>
                  <w:tcW w:w="1947" w:type="dxa"/>
                  <w:vAlign w:val="center"/>
                </w:tcPr>
                <w:p>
                  <w:pPr>
                    <w:spacing w:line="0" w:lineRule="atLeast"/>
                    <w:jc w:val="center"/>
                    <w:rPr>
                      <w:color w:val="auto"/>
                      <w:sz w:val="21"/>
                      <w:szCs w:val="21"/>
                      <w:highlight w:val="none"/>
                    </w:rPr>
                  </w:pPr>
                  <w:r>
                    <w:rPr>
                      <w:color w:val="auto"/>
                      <w:sz w:val="21"/>
                      <w:szCs w:val="21"/>
                      <w:highlight w:val="none"/>
                    </w:rPr>
                    <w:t>《声环境质量标准》</w:t>
                  </w:r>
                </w:p>
                <w:p>
                  <w:pPr>
                    <w:spacing w:line="0" w:lineRule="atLeast"/>
                    <w:jc w:val="center"/>
                    <w:rPr>
                      <w:color w:val="auto"/>
                      <w:sz w:val="21"/>
                      <w:szCs w:val="21"/>
                      <w:highlight w:val="none"/>
                    </w:rPr>
                  </w:pPr>
                  <w:r>
                    <w:rPr>
                      <w:color w:val="auto"/>
                      <w:sz w:val="21"/>
                      <w:szCs w:val="21"/>
                      <w:highlight w:val="none"/>
                    </w:rPr>
                    <w:t>（GB3096-2008）</w:t>
                  </w:r>
                  <w:r>
                    <w:rPr>
                      <w:rFonts w:hint="eastAsia"/>
                      <w:color w:val="auto"/>
                      <w:sz w:val="21"/>
                      <w:szCs w:val="21"/>
                      <w:highlight w:val="none"/>
                      <w:lang w:val="en-US" w:eastAsia="zh-CN"/>
                    </w:rPr>
                    <w:t>3</w:t>
                  </w:r>
                  <w:r>
                    <w:rPr>
                      <w:color w:val="auto"/>
                      <w:sz w:val="21"/>
                      <w:szCs w:val="21"/>
                      <w:highlight w:val="none"/>
                    </w:rPr>
                    <w:t>类</w:t>
                  </w:r>
                  <w:r>
                    <w:rPr>
                      <w:rFonts w:hint="eastAsia"/>
                      <w:color w:val="auto"/>
                      <w:sz w:val="21"/>
                      <w:szCs w:val="21"/>
                      <w:highlight w:val="none"/>
                    </w:rPr>
                    <w:t>区</w:t>
                  </w:r>
                  <w:r>
                    <w:rPr>
                      <w:color w:val="auto"/>
                      <w:sz w:val="21"/>
                      <w:szCs w:val="21"/>
                      <w:highlight w:val="none"/>
                    </w:rPr>
                    <w:t>标准</w:t>
                  </w:r>
                </w:p>
              </w:tc>
              <w:tc>
                <w:tcPr>
                  <w:tcW w:w="858" w:type="dxa"/>
                  <w:vAlign w:val="center"/>
                </w:tcPr>
                <w:p>
                  <w:pPr>
                    <w:spacing w:line="0" w:lineRule="atLeast"/>
                    <w:jc w:val="center"/>
                    <w:rPr>
                      <w:color w:val="auto"/>
                      <w:sz w:val="21"/>
                      <w:szCs w:val="21"/>
                      <w:highlight w:val="none"/>
                    </w:rPr>
                  </w:pPr>
                  <w:r>
                    <w:rPr>
                      <w:color w:val="auto"/>
                      <w:sz w:val="21"/>
                      <w:szCs w:val="21"/>
                      <w:highlight w:val="none"/>
                    </w:rPr>
                    <w:t>—</w:t>
                  </w:r>
                </w:p>
              </w:tc>
              <w:tc>
                <w:tcPr>
                  <w:tcW w:w="919" w:type="dxa"/>
                  <w:vAlign w:val="center"/>
                </w:tcPr>
                <w:p>
                  <w:pPr>
                    <w:spacing w:line="0" w:lineRule="atLeast"/>
                    <w:jc w:val="center"/>
                    <w:rPr>
                      <w:color w:val="auto"/>
                      <w:sz w:val="21"/>
                      <w:szCs w:val="21"/>
                      <w:highlight w:val="none"/>
                    </w:rPr>
                  </w:pPr>
                  <w:r>
                    <w:rPr>
                      <w:color w:val="auto"/>
                      <w:sz w:val="21"/>
                      <w:szCs w:val="21"/>
                      <w:highlight w:val="none"/>
                    </w:rPr>
                    <w:t>—</w:t>
                  </w:r>
                </w:p>
              </w:tc>
              <w:tc>
                <w:tcPr>
                  <w:tcW w:w="941" w:type="dxa"/>
                  <w:vAlign w:val="center"/>
                </w:tcPr>
                <w:p>
                  <w:pPr>
                    <w:spacing w:line="0" w:lineRule="atLeast"/>
                    <w:jc w:val="center"/>
                    <w:rPr>
                      <w:color w:val="auto"/>
                      <w:sz w:val="21"/>
                      <w:szCs w:val="21"/>
                      <w:highlight w:val="none"/>
                    </w:rPr>
                  </w:pPr>
                  <w:r>
                    <w:rPr>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593" w:type="dxa"/>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土壤</w:t>
                  </w:r>
                </w:p>
              </w:tc>
              <w:tc>
                <w:tcPr>
                  <w:tcW w:w="767"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w:t>
                  </w:r>
                </w:p>
              </w:tc>
              <w:tc>
                <w:tcPr>
                  <w:tcW w:w="974"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w:t>
                  </w:r>
                </w:p>
              </w:tc>
              <w:tc>
                <w:tcPr>
                  <w:tcW w:w="1376" w:type="dxa"/>
                  <w:vAlign w:val="center"/>
                </w:tcPr>
                <w:p>
                  <w:pPr>
                    <w:spacing w:line="0" w:lineRule="atLeast"/>
                    <w:jc w:val="center"/>
                    <w:rPr>
                      <w:rFonts w:hint="eastAsia" w:eastAsia="宋体"/>
                      <w:color w:val="auto"/>
                      <w:sz w:val="21"/>
                      <w:szCs w:val="21"/>
                      <w:highlight w:val="none"/>
                      <w:lang w:eastAsia="zh-CN"/>
                    </w:rPr>
                  </w:pPr>
                  <w:r>
                    <w:rPr>
                      <w:rFonts w:hint="eastAsia" w:cs="Times New Roman"/>
                      <w:color w:val="auto"/>
                      <w:highlight w:val="none"/>
                      <w:lang w:eastAsia="zh-CN"/>
                    </w:rPr>
                    <w:t>厂区</w:t>
                  </w:r>
                </w:p>
              </w:tc>
              <w:tc>
                <w:tcPr>
                  <w:tcW w:w="573" w:type="dxa"/>
                  <w:vAlign w:val="center"/>
                </w:tcPr>
                <w:p>
                  <w:pPr>
                    <w:spacing w:line="0" w:lineRule="atLeast"/>
                    <w:jc w:val="center"/>
                    <w:rPr>
                      <w:rFonts w:hint="eastAsia" w:eastAsia="宋体"/>
                      <w:color w:val="auto"/>
                      <w:sz w:val="21"/>
                      <w:szCs w:val="21"/>
                      <w:highlight w:val="none"/>
                      <w:lang w:val="en-US" w:eastAsia="zh-CN"/>
                    </w:rPr>
                  </w:pPr>
                  <w:r>
                    <w:rPr>
                      <w:rFonts w:hint="eastAsia"/>
                      <w:color w:val="auto"/>
                      <w:highlight w:val="none"/>
                      <w:lang w:eastAsia="zh-CN"/>
                    </w:rPr>
                    <w:t>厂区土壤</w:t>
                  </w:r>
                </w:p>
              </w:tc>
              <w:tc>
                <w:tcPr>
                  <w:tcW w:w="1947" w:type="dxa"/>
                  <w:vAlign w:val="center"/>
                </w:tcPr>
                <w:p>
                  <w:pPr>
                    <w:spacing w:line="0" w:lineRule="atLeast"/>
                    <w:jc w:val="center"/>
                    <w:rPr>
                      <w:color w:val="auto"/>
                      <w:sz w:val="21"/>
                      <w:szCs w:val="21"/>
                      <w:highlight w:val="none"/>
                    </w:rPr>
                  </w:pPr>
                  <w:r>
                    <w:rPr>
                      <w:rFonts w:hint="default"/>
                      <w:color w:val="auto"/>
                      <w:sz w:val="21"/>
                      <w:szCs w:val="21"/>
                      <w:highlight w:val="none"/>
                    </w:rPr>
                    <w:t>《土壤环境质量</w:t>
                  </w:r>
                  <w:r>
                    <w:rPr>
                      <w:rFonts w:hint="eastAsia"/>
                      <w:color w:val="auto"/>
                      <w:sz w:val="21"/>
                      <w:szCs w:val="21"/>
                      <w:highlight w:val="none"/>
                      <w:lang w:eastAsia="zh-CN"/>
                    </w:rPr>
                    <w:t>建设</w:t>
                  </w:r>
                  <w:r>
                    <w:rPr>
                      <w:rFonts w:hint="default"/>
                      <w:color w:val="auto"/>
                      <w:sz w:val="21"/>
                      <w:szCs w:val="21"/>
                      <w:highlight w:val="none"/>
                    </w:rPr>
                    <w:t>用地土壤污染风险管控标准》（GB</w:t>
                  </w:r>
                  <w:r>
                    <w:rPr>
                      <w:rFonts w:hint="eastAsia"/>
                      <w:color w:val="auto"/>
                      <w:sz w:val="21"/>
                      <w:szCs w:val="21"/>
                      <w:highlight w:val="none"/>
                      <w:lang w:val="en-US" w:eastAsia="zh-CN"/>
                    </w:rPr>
                    <w:t>36600</w:t>
                  </w:r>
                  <w:r>
                    <w:rPr>
                      <w:rFonts w:hint="default"/>
                      <w:color w:val="auto"/>
                      <w:sz w:val="21"/>
                      <w:szCs w:val="21"/>
                      <w:highlight w:val="none"/>
                    </w:rPr>
                    <w:t>-2018）（试行）中表1标</w:t>
                  </w:r>
                  <w:r>
                    <w:rPr>
                      <w:rFonts w:hint="eastAsia"/>
                      <w:color w:val="auto"/>
                      <w:sz w:val="21"/>
                      <w:szCs w:val="21"/>
                      <w:highlight w:val="none"/>
                      <w:lang w:eastAsia="zh-CN"/>
                    </w:rPr>
                    <w:t>准限值</w:t>
                  </w:r>
                </w:p>
              </w:tc>
              <w:tc>
                <w:tcPr>
                  <w:tcW w:w="858"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w:t>
                  </w:r>
                </w:p>
              </w:tc>
              <w:tc>
                <w:tcPr>
                  <w:tcW w:w="919"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w:t>
                  </w:r>
                </w:p>
              </w:tc>
              <w:tc>
                <w:tcPr>
                  <w:tcW w:w="941"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w:t>
                  </w:r>
                </w:p>
              </w:tc>
            </w:tr>
          </w:tbl>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widowControl/>
              <w:adjustRightInd w:val="0"/>
              <w:snapToGrid w:val="0"/>
              <w:rPr>
                <w:color w:val="auto"/>
                <w:highlight w:val="none"/>
              </w:rPr>
            </w:pPr>
          </w:p>
        </w:tc>
      </w:tr>
    </w:tbl>
    <w:p>
      <w:pPr>
        <w:outlineLvl w:val="0"/>
        <w:rPr>
          <w:b/>
          <w:color w:val="auto"/>
          <w:kern w:val="24"/>
          <w:sz w:val="32"/>
          <w:szCs w:val="20"/>
          <w:highlight w:val="none"/>
        </w:rPr>
      </w:pPr>
      <w:r>
        <w:rPr>
          <w:color w:val="auto"/>
          <w:kern w:val="24"/>
          <w:sz w:val="28"/>
          <w:szCs w:val="20"/>
          <w:highlight w:val="none"/>
        </w:rPr>
        <w:br w:type="page"/>
      </w:r>
      <w:r>
        <w:rPr>
          <w:b/>
          <w:bCs/>
          <w:color w:val="auto"/>
          <w:sz w:val="32"/>
          <w:highlight w:val="none"/>
        </w:rPr>
        <w:t>评价适用标准</w:t>
      </w:r>
    </w:p>
    <w:tbl>
      <w:tblPr>
        <w:tblStyle w:val="31"/>
        <w:tblW w:w="9355"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85" w:type="dxa"/>
          <w:bottom w:w="0" w:type="dxa"/>
          <w:right w:w="85" w:type="dxa"/>
        </w:tblCellMar>
      </w:tblPr>
      <w:tblGrid>
        <w:gridCol w:w="621"/>
        <w:gridCol w:w="8734"/>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3956" w:hRule="atLeast"/>
          <w:jc w:val="center"/>
        </w:trPr>
        <w:tc>
          <w:tcPr>
            <w:tcW w:w="621" w:type="dxa"/>
            <w:vAlign w:val="center"/>
          </w:tcPr>
          <w:p>
            <w:pPr>
              <w:spacing w:line="480" w:lineRule="exact"/>
              <w:jc w:val="center"/>
              <w:rPr>
                <w:b/>
                <w:color w:val="auto"/>
                <w:kern w:val="24"/>
                <w:sz w:val="28"/>
                <w:szCs w:val="28"/>
                <w:highlight w:val="none"/>
              </w:rPr>
            </w:pPr>
            <w:r>
              <w:rPr>
                <w:b/>
                <w:color w:val="auto"/>
                <w:kern w:val="24"/>
                <w:sz w:val="28"/>
                <w:szCs w:val="28"/>
                <w:highlight w:val="none"/>
              </w:rPr>
              <w:t>环</w:t>
            </w:r>
          </w:p>
          <w:p>
            <w:pPr>
              <w:spacing w:line="480" w:lineRule="exact"/>
              <w:jc w:val="center"/>
              <w:rPr>
                <w:b/>
                <w:color w:val="auto"/>
                <w:kern w:val="24"/>
                <w:sz w:val="28"/>
                <w:szCs w:val="28"/>
                <w:highlight w:val="none"/>
              </w:rPr>
            </w:pPr>
            <w:r>
              <w:rPr>
                <w:b/>
                <w:color w:val="auto"/>
                <w:kern w:val="24"/>
                <w:sz w:val="28"/>
                <w:szCs w:val="28"/>
                <w:highlight w:val="none"/>
              </w:rPr>
              <w:t>境</w:t>
            </w:r>
          </w:p>
          <w:p>
            <w:pPr>
              <w:spacing w:line="480" w:lineRule="exact"/>
              <w:jc w:val="center"/>
              <w:rPr>
                <w:b/>
                <w:color w:val="auto"/>
                <w:kern w:val="24"/>
                <w:sz w:val="28"/>
                <w:szCs w:val="28"/>
                <w:highlight w:val="none"/>
              </w:rPr>
            </w:pPr>
            <w:r>
              <w:rPr>
                <w:b/>
                <w:color w:val="auto"/>
                <w:kern w:val="24"/>
                <w:sz w:val="28"/>
                <w:szCs w:val="28"/>
                <w:highlight w:val="none"/>
              </w:rPr>
              <w:t>质</w:t>
            </w:r>
          </w:p>
          <w:p>
            <w:pPr>
              <w:spacing w:line="480" w:lineRule="exact"/>
              <w:jc w:val="center"/>
              <w:rPr>
                <w:b/>
                <w:color w:val="auto"/>
                <w:kern w:val="24"/>
                <w:sz w:val="28"/>
                <w:szCs w:val="28"/>
                <w:highlight w:val="none"/>
              </w:rPr>
            </w:pPr>
            <w:r>
              <w:rPr>
                <w:b/>
                <w:color w:val="auto"/>
                <w:kern w:val="24"/>
                <w:sz w:val="28"/>
                <w:szCs w:val="28"/>
                <w:highlight w:val="none"/>
              </w:rPr>
              <w:t>量</w:t>
            </w:r>
          </w:p>
          <w:p>
            <w:pPr>
              <w:spacing w:line="480" w:lineRule="exact"/>
              <w:jc w:val="center"/>
              <w:rPr>
                <w:b/>
                <w:color w:val="auto"/>
                <w:kern w:val="24"/>
                <w:sz w:val="28"/>
                <w:szCs w:val="28"/>
                <w:highlight w:val="none"/>
              </w:rPr>
            </w:pPr>
            <w:r>
              <w:rPr>
                <w:b/>
                <w:color w:val="auto"/>
                <w:kern w:val="24"/>
                <w:sz w:val="28"/>
                <w:szCs w:val="28"/>
                <w:highlight w:val="none"/>
              </w:rPr>
              <w:t>标</w:t>
            </w:r>
          </w:p>
          <w:p>
            <w:pPr>
              <w:spacing w:line="480" w:lineRule="exact"/>
              <w:jc w:val="center"/>
              <w:rPr>
                <w:color w:val="auto"/>
                <w:kern w:val="24"/>
                <w:sz w:val="28"/>
                <w:szCs w:val="28"/>
                <w:highlight w:val="none"/>
              </w:rPr>
            </w:pPr>
            <w:r>
              <w:rPr>
                <w:b/>
                <w:color w:val="auto"/>
                <w:kern w:val="24"/>
                <w:sz w:val="28"/>
                <w:szCs w:val="28"/>
                <w:highlight w:val="none"/>
              </w:rPr>
              <w:t>准</w:t>
            </w:r>
          </w:p>
        </w:tc>
        <w:tc>
          <w:tcPr>
            <w:tcW w:w="8734" w:type="dxa"/>
          </w:tcPr>
          <w:p>
            <w:pPr>
              <w:spacing w:line="440" w:lineRule="exact"/>
              <w:ind w:firstLine="480" w:firstLineChars="200"/>
              <w:rPr>
                <w:color w:val="auto"/>
                <w:sz w:val="24"/>
                <w:highlight w:val="none"/>
              </w:rPr>
            </w:pPr>
            <w:r>
              <w:rPr>
                <w:color w:val="auto"/>
                <w:sz w:val="24"/>
                <w:highlight w:val="none"/>
              </w:rPr>
              <w:t>区域内环境质量适用如下标准：</w:t>
            </w:r>
          </w:p>
          <w:p>
            <w:pPr>
              <w:spacing w:line="440" w:lineRule="exact"/>
              <w:ind w:firstLine="480" w:firstLineChars="200"/>
              <w:rPr>
                <w:color w:val="auto"/>
                <w:sz w:val="24"/>
                <w:highlight w:val="none"/>
              </w:rPr>
            </w:pPr>
            <w:r>
              <w:rPr>
                <w:color w:val="auto"/>
                <w:sz w:val="24"/>
                <w:highlight w:val="none"/>
              </w:rPr>
              <w:t>1、常规因子执行《环境空气质量标准》（GB3095-2012）二级标准及其修改单：</w:t>
            </w:r>
          </w:p>
          <w:p>
            <w:pPr>
              <w:spacing w:line="440" w:lineRule="exact"/>
              <w:ind w:firstLine="482" w:firstLineChars="200"/>
              <w:jc w:val="center"/>
              <w:rPr>
                <w:b/>
                <w:bCs/>
                <w:color w:val="auto"/>
                <w:sz w:val="24"/>
                <w:highlight w:val="none"/>
              </w:rPr>
            </w:pPr>
            <w:r>
              <w:rPr>
                <w:b/>
                <w:bCs/>
                <w:color w:val="auto"/>
                <w:sz w:val="24"/>
                <w:highlight w:val="none"/>
              </w:rPr>
              <w:t>表</w:t>
            </w:r>
            <w:r>
              <w:rPr>
                <w:rFonts w:hint="eastAsia"/>
                <w:b/>
                <w:bCs/>
                <w:color w:val="auto"/>
                <w:sz w:val="24"/>
                <w:highlight w:val="none"/>
                <w:lang w:val="en-US" w:eastAsia="zh-CN"/>
              </w:rPr>
              <w:t xml:space="preserve">15    </w:t>
            </w:r>
            <w:r>
              <w:rPr>
                <w:b/>
                <w:bCs/>
                <w:color w:val="auto"/>
                <w:sz w:val="24"/>
                <w:highlight w:val="none"/>
              </w:rPr>
              <w:t>《环境空气质量标准》标准限值</w:t>
            </w:r>
          </w:p>
          <w:tbl>
            <w:tblPr>
              <w:tblStyle w:val="31"/>
              <w:tblW w:w="853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842"/>
              <w:gridCol w:w="2165"/>
              <w:gridCol w:w="2282"/>
              <w:gridCol w:w="12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Align w:val="center"/>
                </w:tcPr>
                <w:p>
                  <w:pPr>
                    <w:spacing w:line="380" w:lineRule="exact"/>
                    <w:jc w:val="center"/>
                    <w:rPr>
                      <w:color w:val="auto"/>
                      <w:highlight w:val="none"/>
                    </w:rPr>
                  </w:pPr>
                  <w:r>
                    <w:rPr>
                      <w:color w:val="auto"/>
                      <w:highlight w:val="none"/>
                    </w:rPr>
                    <w:t>污染物名称</w:t>
                  </w:r>
                </w:p>
              </w:tc>
              <w:tc>
                <w:tcPr>
                  <w:tcW w:w="2165" w:type="dxa"/>
                  <w:vAlign w:val="center"/>
                </w:tcPr>
                <w:p>
                  <w:pPr>
                    <w:spacing w:line="380" w:lineRule="exact"/>
                    <w:jc w:val="center"/>
                    <w:rPr>
                      <w:color w:val="auto"/>
                      <w:highlight w:val="none"/>
                    </w:rPr>
                  </w:pPr>
                  <w:r>
                    <w:rPr>
                      <w:color w:val="auto"/>
                      <w:highlight w:val="none"/>
                    </w:rPr>
                    <w:t>取值时间</w:t>
                  </w:r>
                </w:p>
              </w:tc>
              <w:tc>
                <w:tcPr>
                  <w:tcW w:w="2282" w:type="dxa"/>
                  <w:vAlign w:val="center"/>
                </w:tcPr>
                <w:p>
                  <w:pPr>
                    <w:spacing w:line="380" w:lineRule="exact"/>
                    <w:jc w:val="center"/>
                    <w:rPr>
                      <w:color w:val="auto"/>
                      <w:highlight w:val="none"/>
                    </w:rPr>
                  </w:pPr>
                  <w:r>
                    <w:rPr>
                      <w:color w:val="auto"/>
                      <w:highlight w:val="none"/>
                    </w:rPr>
                    <w:t>二级标准限值</w:t>
                  </w:r>
                </w:p>
              </w:tc>
              <w:tc>
                <w:tcPr>
                  <w:tcW w:w="1245" w:type="dxa"/>
                  <w:vAlign w:val="center"/>
                </w:tcPr>
                <w:p>
                  <w:pPr>
                    <w:spacing w:line="380" w:lineRule="exact"/>
                    <w:jc w:val="center"/>
                    <w:rPr>
                      <w:color w:val="auto"/>
                      <w:highlight w:val="none"/>
                    </w:rPr>
                  </w:pPr>
                  <w:r>
                    <w:rPr>
                      <w:color w:val="auto"/>
                      <w:highlight w:val="none"/>
                    </w:rPr>
                    <w:t>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Align w:val="center"/>
                </w:tcPr>
                <w:p>
                  <w:pPr>
                    <w:spacing w:line="380" w:lineRule="exact"/>
                    <w:jc w:val="center"/>
                    <w:rPr>
                      <w:color w:val="auto"/>
                      <w:highlight w:val="none"/>
                      <w:vertAlign w:val="subscript"/>
                    </w:rPr>
                  </w:pPr>
                  <w:r>
                    <w:rPr>
                      <w:color w:val="auto"/>
                      <w:highlight w:val="none"/>
                    </w:rPr>
                    <w:t>PM</w:t>
                  </w:r>
                  <w:r>
                    <w:rPr>
                      <w:color w:val="auto"/>
                      <w:highlight w:val="none"/>
                      <w:vertAlign w:val="subscript"/>
                    </w:rPr>
                    <w:t>10</w:t>
                  </w:r>
                </w:p>
              </w:tc>
              <w:tc>
                <w:tcPr>
                  <w:tcW w:w="2165" w:type="dxa"/>
                  <w:vAlign w:val="center"/>
                </w:tcPr>
                <w:p>
                  <w:pPr>
                    <w:spacing w:line="380" w:lineRule="exact"/>
                    <w:jc w:val="center"/>
                    <w:rPr>
                      <w:color w:val="auto"/>
                      <w:highlight w:val="none"/>
                    </w:rPr>
                  </w:pPr>
                  <w:r>
                    <w:rPr>
                      <w:color w:val="auto"/>
                      <w:highlight w:val="none"/>
                    </w:rPr>
                    <w:t>24小时平均</w:t>
                  </w:r>
                </w:p>
              </w:tc>
              <w:tc>
                <w:tcPr>
                  <w:tcW w:w="2282" w:type="dxa"/>
                  <w:vAlign w:val="center"/>
                </w:tcPr>
                <w:p>
                  <w:pPr>
                    <w:spacing w:line="380" w:lineRule="exact"/>
                    <w:jc w:val="center"/>
                    <w:rPr>
                      <w:color w:val="auto"/>
                      <w:highlight w:val="none"/>
                    </w:rPr>
                  </w:pPr>
                  <w:r>
                    <w:rPr>
                      <w:color w:val="auto"/>
                      <w:highlight w:val="none"/>
                    </w:rPr>
                    <w:t>150</w:t>
                  </w:r>
                </w:p>
              </w:tc>
              <w:tc>
                <w:tcPr>
                  <w:tcW w:w="1245" w:type="dxa"/>
                  <w:vMerge w:val="restart"/>
                  <w:vAlign w:val="center"/>
                </w:tcPr>
                <w:p>
                  <w:pPr>
                    <w:spacing w:line="380" w:lineRule="exact"/>
                    <w:jc w:val="center"/>
                    <w:rPr>
                      <w:color w:val="auto"/>
                      <w:highlight w:val="none"/>
                    </w:rPr>
                  </w:pPr>
                  <w:r>
                    <w:rPr>
                      <w:color w:val="auto"/>
                      <w:highlight w:val="none"/>
                    </w:rPr>
                    <w:t>μg/m</w:t>
                  </w:r>
                  <w:r>
                    <w:rPr>
                      <w:color w:val="auto"/>
                      <w:highlight w:val="none"/>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Align w:val="center"/>
                </w:tcPr>
                <w:p>
                  <w:pPr>
                    <w:spacing w:line="380" w:lineRule="exact"/>
                    <w:jc w:val="center"/>
                    <w:rPr>
                      <w:color w:val="auto"/>
                      <w:highlight w:val="none"/>
                    </w:rPr>
                  </w:pPr>
                  <w:r>
                    <w:rPr>
                      <w:color w:val="auto"/>
                      <w:highlight w:val="none"/>
                    </w:rPr>
                    <w:t>PM</w:t>
                  </w:r>
                  <w:r>
                    <w:rPr>
                      <w:color w:val="auto"/>
                      <w:highlight w:val="none"/>
                      <w:vertAlign w:val="subscript"/>
                    </w:rPr>
                    <w:t>2.5</w:t>
                  </w:r>
                </w:p>
              </w:tc>
              <w:tc>
                <w:tcPr>
                  <w:tcW w:w="2165" w:type="dxa"/>
                  <w:vAlign w:val="center"/>
                </w:tcPr>
                <w:p>
                  <w:pPr>
                    <w:spacing w:line="380" w:lineRule="exact"/>
                    <w:jc w:val="center"/>
                    <w:rPr>
                      <w:color w:val="auto"/>
                      <w:highlight w:val="none"/>
                    </w:rPr>
                  </w:pPr>
                  <w:r>
                    <w:rPr>
                      <w:color w:val="auto"/>
                      <w:highlight w:val="none"/>
                    </w:rPr>
                    <w:t>24小时平均</w:t>
                  </w:r>
                </w:p>
              </w:tc>
              <w:tc>
                <w:tcPr>
                  <w:tcW w:w="2282" w:type="dxa"/>
                  <w:vAlign w:val="center"/>
                </w:tcPr>
                <w:p>
                  <w:pPr>
                    <w:spacing w:line="380" w:lineRule="exact"/>
                    <w:jc w:val="center"/>
                    <w:rPr>
                      <w:color w:val="auto"/>
                      <w:highlight w:val="none"/>
                    </w:rPr>
                  </w:pPr>
                  <w:r>
                    <w:rPr>
                      <w:color w:val="auto"/>
                      <w:highlight w:val="none"/>
                    </w:rPr>
                    <w:t>75</w:t>
                  </w:r>
                </w:p>
              </w:tc>
              <w:tc>
                <w:tcPr>
                  <w:tcW w:w="1245" w:type="dxa"/>
                  <w:vMerge w:val="continue"/>
                  <w:vAlign w:val="center"/>
                </w:tcPr>
                <w:p>
                  <w:pPr>
                    <w:spacing w:line="38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restart"/>
                  <w:vAlign w:val="center"/>
                </w:tcPr>
                <w:p>
                  <w:pPr>
                    <w:spacing w:line="380" w:lineRule="exact"/>
                    <w:jc w:val="center"/>
                    <w:rPr>
                      <w:color w:val="auto"/>
                      <w:highlight w:val="none"/>
                    </w:rPr>
                  </w:pPr>
                  <w:r>
                    <w:rPr>
                      <w:color w:val="auto"/>
                      <w:highlight w:val="none"/>
                    </w:rPr>
                    <w:t>SO</w:t>
                  </w:r>
                  <w:r>
                    <w:rPr>
                      <w:color w:val="auto"/>
                      <w:highlight w:val="none"/>
                      <w:vertAlign w:val="subscript"/>
                    </w:rPr>
                    <w:t>2</w:t>
                  </w:r>
                </w:p>
              </w:tc>
              <w:tc>
                <w:tcPr>
                  <w:tcW w:w="2165" w:type="dxa"/>
                  <w:vAlign w:val="center"/>
                </w:tcPr>
                <w:p>
                  <w:pPr>
                    <w:spacing w:line="380" w:lineRule="exact"/>
                    <w:jc w:val="center"/>
                    <w:rPr>
                      <w:color w:val="auto"/>
                      <w:highlight w:val="none"/>
                    </w:rPr>
                  </w:pPr>
                  <w:r>
                    <w:rPr>
                      <w:color w:val="auto"/>
                      <w:highlight w:val="none"/>
                    </w:rPr>
                    <w:t>1小时平均</w:t>
                  </w:r>
                </w:p>
              </w:tc>
              <w:tc>
                <w:tcPr>
                  <w:tcW w:w="2282" w:type="dxa"/>
                  <w:vAlign w:val="center"/>
                </w:tcPr>
                <w:p>
                  <w:pPr>
                    <w:spacing w:line="380" w:lineRule="exact"/>
                    <w:jc w:val="center"/>
                    <w:rPr>
                      <w:color w:val="auto"/>
                      <w:highlight w:val="none"/>
                    </w:rPr>
                  </w:pPr>
                  <w:r>
                    <w:rPr>
                      <w:color w:val="auto"/>
                      <w:highlight w:val="none"/>
                    </w:rPr>
                    <w:t>500</w:t>
                  </w:r>
                </w:p>
              </w:tc>
              <w:tc>
                <w:tcPr>
                  <w:tcW w:w="1245" w:type="dxa"/>
                  <w:vMerge w:val="continue"/>
                  <w:vAlign w:val="center"/>
                </w:tcPr>
                <w:p>
                  <w:pPr>
                    <w:spacing w:line="38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continue"/>
                  <w:vAlign w:val="center"/>
                </w:tcPr>
                <w:p>
                  <w:pPr>
                    <w:spacing w:line="380" w:lineRule="exact"/>
                    <w:jc w:val="center"/>
                    <w:rPr>
                      <w:color w:val="auto"/>
                      <w:highlight w:val="none"/>
                    </w:rPr>
                  </w:pPr>
                </w:p>
              </w:tc>
              <w:tc>
                <w:tcPr>
                  <w:tcW w:w="2165" w:type="dxa"/>
                  <w:vAlign w:val="center"/>
                </w:tcPr>
                <w:p>
                  <w:pPr>
                    <w:spacing w:line="380" w:lineRule="exact"/>
                    <w:jc w:val="center"/>
                    <w:rPr>
                      <w:color w:val="auto"/>
                      <w:highlight w:val="none"/>
                    </w:rPr>
                  </w:pPr>
                  <w:r>
                    <w:rPr>
                      <w:color w:val="auto"/>
                      <w:highlight w:val="none"/>
                    </w:rPr>
                    <w:t>24小时平均</w:t>
                  </w:r>
                </w:p>
              </w:tc>
              <w:tc>
                <w:tcPr>
                  <w:tcW w:w="2282" w:type="dxa"/>
                  <w:vAlign w:val="center"/>
                </w:tcPr>
                <w:p>
                  <w:pPr>
                    <w:spacing w:line="380" w:lineRule="exact"/>
                    <w:jc w:val="center"/>
                    <w:rPr>
                      <w:color w:val="auto"/>
                      <w:highlight w:val="none"/>
                    </w:rPr>
                  </w:pPr>
                  <w:r>
                    <w:rPr>
                      <w:color w:val="auto"/>
                      <w:highlight w:val="none"/>
                    </w:rPr>
                    <w:t>150</w:t>
                  </w:r>
                </w:p>
              </w:tc>
              <w:tc>
                <w:tcPr>
                  <w:tcW w:w="1245" w:type="dxa"/>
                  <w:vMerge w:val="continue"/>
                  <w:vAlign w:val="center"/>
                </w:tcPr>
                <w:p>
                  <w:pPr>
                    <w:spacing w:line="38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restart"/>
                  <w:vAlign w:val="center"/>
                </w:tcPr>
                <w:p>
                  <w:pPr>
                    <w:spacing w:line="380" w:lineRule="exact"/>
                    <w:jc w:val="center"/>
                    <w:rPr>
                      <w:color w:val="auto"/>
                      <w:highlight w:val="none"/>
                    </w:rPr>
                  </w:pPr>
                  <w:r>
                    <w:rPr>
                      <w:color w:val="auto"/>
                      <w:highlight w:val="none"/>
                    </w:rPr>
                    <w:t>NO</w:t>
                  </w:r>
                  <w:r>
                    <w:rPr>
                      <w:color w:val="auto"/>
                      <w:highlight w:val="none"/>
                      <w:vertAlign w:val="subscript"/>
                    </w:rPr>
                    <w:t>2</w:t>
                  </w:r>
                </w:p>
              </w:tc>
              <w:tc>
                <w:tcPr>
                  <w:tcW w:w="2165" w:type="dxa"/>
                  <w:vAlign w:val="center"/>
                </w:tcPr>
                <w:p>
                  <w:pPr>
                    <w:spacing w:line="380" w:lineRule="exact"/>
                    <w:jc w:val="center"/>
                    <w:rPr>
                      <w:color w:val="auto"/>
                      <w:highlight w:val="none"/>
                    </w:rPr>
                  </w:pPr>
                  <w:r>
                    <w:rPr>
                      <w:color w:val="auto"/>
                      <w:highlight w:val="none"/>
                    </w:rPr>
                    <w:t>1小时平均</w:t>
                  </w:r>
                </w:p>
              </w:tc>
              <w:tc>
                <w:tcPr>
                  <w:tcW w:w="2282" w:type="dxa"/>
                  <w:vAlign w:val="center"/>
                </w:tcPr>
                <w:p>
                  <w:pPr>
                    <w:spacing w:line="380" w:lineRule="exact"/>
                    <w:jc w:val="center"/>
                    <w:rPr>
                      <w:color w:val="auto"/>
                      <w:highlight w:val="none"/>
                    </w:rPr>
                  </w:pPr>
                  <w:r>
                    <w:rPr>
                      <w:color w:val="auto"/>
                      <w:highlight w:val="none"/>
                    </w:rPr>
                    <w:t>200</w:t>
                  </w:r>
                </w:p>
              </w:tc>
              <w:tc>
                <w:tcPr>
                  <w:tcW w:w="1245" w:type="dxa"/>
                  <w:vMerge w:val="continue"/>
                  <w:vAlign w:val="center"/>
                </w:tcPr>
                <w:p>
                  <w:pPr>
                    <w:spacing w:line="38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continue"/>
                  <w:vAlign w:val="center"/>
                </w:tcPr>
                <w:p>
                  <w:pPr>
                    <w:spacing w:line="380" w:lineRule="exact"/>
                    <w:jc w:val="center"/>
                    <w:rPr>
                      <w:color w:val="auto"/>
                      <w:highlight w:val="none"/>
                    </w:rPr>
                  </w:pPr>
                </w:p>
              </w:tc>
              <w:tc>
                <w:tcPr>
                  <w:tcW w:w="2165" w:type="dxa"/>
                  <w:vAlign w:val="center"/>
                </w:tcPr>
                <w:p>
                  <w:pPr>
                    <w:spacing w:line="380" w:lineRule="exact"/>
                    <w:jc w:val="center"/>
                    <w:rPr>
                      <w:color w:val="auto"/>
                      <w:highlight w:val="none"/>
                    </w:rPr>
                  </w:pPr>
                  <w:r>
                    <w:rPr>
                      <w:color w:val="auto"/>
                      <w:highlight w:val="none"/>
                    </w:rPr>
                    <w:t>24小时平均</w:t>
                  </w:r>
                </w:p>
              </w:tc>
              <w:tc>
                <w:tcPr>
                  <w:tcW w:w="2282" w:type="dxa"/>
                  <w:vAlign w:val="center"/>
                </w:tcPr>
                <w:p>
                  <w:pPr>
                    <w:spacing w:line="380" w:lineRule="exact"/>
                    <w:jc w:val="center"/>
                    <w:rPr>
                      <w:color w:val="auto"/>
                      <w:highlight w:val="none"/>
                    </w:rPr>
                  </w:pPr>
                  <w:r>
                    <w:rPr>
                      <w:color w:val="auto"/>
                      <w:highlight w:val="none"/>
                    </w:rPr>
                    <w:t>80</w:t>
                  </w:r>
                </w:p>
              </w:tc>
              <w:tc>
                <w:tcPr>
                  <w:tcW w:w="1245" w:type="dxa"/>
                  <w:vMerge w:val="continue"/>
                  <w:vAlign w:val="center"/>
                </w:tcPr>
                <w:p>
                  <w:pPr>
                    <w:spacing w:line="38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restart"/>
                  <w:vAlign w:val="center"/>
                </w:tcPr>
                <w:p>
                  <w:pPr>
                    <w:spacing w:line="380" w:lineRule="exact"/>
                    <w:jc w:val="center"/>
                    <w:rPr>
                      <w:color w:val="auto"/>
                      <w:highlight w:val="none"/>
                    </w:rPr>
                  </w:pPr>
                  <w:r>
                    <w:rPr>
                      <w:color w:val="auto"/>
                      <w:highlight w:val="none"/>
                    </w:rPr>
                    <w:t>臭氧（O</w:t>
                  </w:r>
                  <w:r>
                    <w:rPr>
                      <w:color w:val="auto"/>
                      <w:highlight w:val="none"/>
                      <w:vertAlign w:val="subscript"/>
                    </w:rPr>
                    <w:t>3</w:t>
                  </w:r>
                  <w:r>
                    <w:rPr>
                      <w:color w:val="auto"/>
                      <w:highlight w:val="none"/>
                    </w:rPr>
                    <w:t>）</w:t>
                  </w:r>
                </w:p>
              </w:tc>
              <w:tc>
                <w:tcPr>
                  <w:tcW w:w="2165" w:type="dxa"/>
                  <w:vAlign w:val="center"/>
                </w:tcPr>
                <w:p>
                  <w:pPr>
                    <w:spacing w:line="380" w:lineRule="exact"/>
                    <w:jc w:val="center"/>
                    <w:rPr>
                      <w:color w:val="auto"/>
                      <w:highlight w:val="none"/>
                    </w:rPr>
                  </w:pPr>
                  <w:r>
                    <w:rPr>
                      <w:color w:val="auto"/>
                      <w:highlight w:val="none"/>
                    </w:rPr>
                    <w:t>1小时平均</w:t>
                  </w:r>
                </w:p>
              </w:tc>
              <w:tc>
                <w:tcPr>
                  <w:tcW w:w="2282" w:type="dxa"/>
                  <w:vAlign w:val="center"/>
                </w:tcPr>
                <w:p>
                  <w:pPr>
                    <w:spacing w:line="380" w:lineRule="exact"/>
                    <w:jc w:val="center"/>
                    <w:rPr>
                      <w:color w:val="auto"/>
                      <w:highlight w:val="none"/>
                    </w:rPr>
                  </w:pPr>
                  <w:r>
                    <w:rPr>
                      <w:color w:val="auto"/>
                      <w:highlight w:val="none"/>
                    </w:rPr>
                    <w:t>200</w:t>
                  </w:r>
                </w:p>
              </w:tc>
              <w:tc>
                <w:tcPr>
                  <w:tcW w:w="1245" w:type="dxa"/>
                  <w:vMerge w:val="continue"/>
                  <w:vAlign w:val="center"/>
                </w:tcPr>
                <w:p>
                  <w:pPr>
                    <w:spacing w:line="38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continue"/>
                  <w:vAlign w:val="center"/>
                </w:tcPr>
                <w:p>
                  <w:pPr>
                    <w:spacing w:line="380" w:lineRule="exact"/>
                    <w:jc w:val="center"/>
                    <w:rPr>
                      <w:color w:val="auto"/>
                      <w:highlight w:val="none"/>
                    </w:rPr>
                  </w:pPr>
                </w:p>
              </w:tc>
              <w:tc>
                <w:tcPr>
                  <w:tcW w:w="2165" w:type="dxa"/>
                  <w:vAlign w:val="center"/>
                </w:tcPr>
                <w:p>
                  <w:pPr>
                    <w:spacing w:line="380" w:lineRule="exact"/>
                    <w:jc w:val="center"/>
                    <w:rPr>
                      <w:color w:val="auto"/>
                      <w:highlight w:val="none"/>
                    </w:rPr>
                  </w:pPr>
                  <w:r>
                    <w:rPr>
                      <w:color w:val="auto"/>
                      <w:highlight w:val="none"/>
                    </w:rPr>
                    <w:t>日最大8小时平均</w:t>
                  </w:r>
                </w:p>
              </w:tc>
              <w:tc>
                <w:tcPr>
                  <w:tcW w:w="2282" w:type="dxa"/>
                  <w:vAlign w:val="center"/>
                </w:tcPr>
                <w:p>
                  <w:pPr>
                    <w:spacing w:line="380" w:lineRule="exact"/>
                    <w:jc w:val="center"/>
                    <w:rPr>
                      <w:color w:val="auto"/>
                      <w:highlight w:val="none"/>
                    </w:rPr>
                  </w:pPr>
                  <w:r>
                    <w:rPr>
                      <w:color w:val="auto"/>
                      <w:highlight w:val="none"/>
                    </w:rPr>
                    <w:t>160</w:t>
                  </w:r>
                </w:p>
              </w:tc>
              <w:tc>
                <w:tcPr>
                  <w:tcW w:w="1245" w:type="dxa"/>
                  <w:vMerge w:val="continue"/>
                  <w:vAlign w:val="center"/>
                </w:tcPr>
                <w:p>
                  <w:pPr>
                    <w:spacing w:line="38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restart"/>
                  <w:vAlign w:val="center"/>
                </w:tcPr>
                <w:p>
                  <w:pPr>
                    <w:spacing w:line="380" w:lineRule="exact"/>
                    <w:jc w:val="center"/>
                    <w:rPr>
                      <w:color w:val="auto"/>
                      <w:highlight w:val="none"/>
                    </w:rPr>
                  </w:pPr>
                  <w:r>
                    <w:rPr>
                      <w:color w:val="auto"/>
                      <w:highlight w:val="none"/>
                    </w:rPr>
                    <w:t>CO</w:t>
                  </w:r>
                </w:p>
              </w:tc>
              <w:tc>
                <w:tcPr>
                  <w:tcW w:w="2165" w:type="dxa"/>
                  <w:vAlign w:val="center"/>
                </w:tcPr>
                <w:p>
                  <w:pPr>
                    <w:spacing w:line="380" w:lineRule="exact"/>
                    <w:jc w:val="center"/>
                    <w:rPr>
                      <w:color w:val="auto"/>
                      <w:highlight w:val="none"/>
                    </w:rPr>
                  </w:pPr>
                  <w:r>
                    <w:rPr>
                      <w:color w:val="auto"/>
                      <w:highlight w:val="none"/>
                    </w:rPr>
                    <w:t>1小时平均</w:t>
                  </w:r>
                </w:p>
              </w:tc>
              <w:tc>
                <w:tcPr>
                  <w:tcW w:w="2282" w:type="dxa"/>
                  <w:vAlign w:val="center"/>
                </w:tcPr>
                <w:p>
                  <w:pPr>
                    <w:spacing w:line="380" w:lineRule="exact"/>
                    <w:jc w:val="center"/>
                    <w:rPr>
                      <w:color w:val="auto"/>
                      <w:highlight w:val="none"/>
                    </w:rPr>
                  </w:pPr>
                  <w:r>
                    <w:rPr>
                      <w:color w:val="auto"/>
                      <w:highlight w:val="none"/>
                    </w:rPr>
                    <w:t>10</w:t>
                  </w:r>
                </w:p>
              </w:tc>
              <w:tc>
                <w:tcPr>
                  <w:tcW w:w="1245" w:type="dxa"/>
                  <w:vMerge w:val="restart"/>
                  <w:vAlign w:val="center"/>
                </w:tcPr>
                <w:p>
                  <w:pPr>
                    <w:spacing w:line="380" w:lineRule="exact"/>
                    <w:jc w:val="center"/>
                    <w:rPr>
                      <w:color w:val="auto"/>
                      <w:highlight w:val="none"/>
                    </w:rPr>
                  </w:pPr>
                  <w:r>
                    <w:rPr>
                      <w:color w:val="auto"/>
                      <w:highlight w:val="none"/>
                    </w:rPr>
                    <w:t>mg/m</w:t>
                  </w:r>
                  <w:r>
                    <w:rPr>
                      <w:color w:val="auto"/>
                      <w:highlight w:val="none"/>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continue"/>
                  <w:vAlign w:val="center"/>
                </w:tcPr>
                <w:p>
                  <w:pPr>
                    <w:spacing w:line="380" w:lineRule="exact"/>
                    <w:jc w:val="center"/>
                    <w:rPr>
                      <w:color w:val="auto"/>
                      <w:highlight w:val="none"/>
                    </w:rPr>
                  </w:pPr>
                </w:p>
              </w:tc>
              <w:tc>
                <w:tcPr>
                  <w:tcW w:w="2165" w:type="dxa"/>
                  <w:vAlign w:val="center"/>
                </w:tcPr>
                <w:p>
                  <w:pPr>
                    <w:spacing w:line="380" w:lineRule="exact"/>
                    <w:jc w:val="center"/>
                    <w:rPr>
                      <w:color w:val="auto"/>
                      <w:highlight w:val="none"/>
                    </w:rPr>
                  </w:pPr>
                  <w:r>
                    <w:rPr>
                      <w:color w:val="auto"/>
                      <w:highlight w:val="none"/>
                    </w:rPr>
                    <w:t>24小时平均</w:t>
                  </w:r>
                </w:p>
              </w:tc>
              <w:tc>
                <w:tcPr>
                  <w:tcW w:w="2282" w:type="dxa"/>
                  <w:vAlign w:val="center"/>
                </w:tcPr>
                <w:p>
                  <w:pPr>
                    <w:spacing w:line="380" w:lineRule="exact"/>
                    <w:jc w:val="center"/>
                    <w:rPr>
                      <w:color w:val="auto"/>
                      <w:highlight w:val="none"/>
                    </w:rPr>
                  </w:pPr>
                  <w:r>
                    <w:rPr>
                      <w:color w:val="auto"/>
                      <w:highlight w:val="none"/>
                    </w:rPr>
                    <w:t>4</w:t>
                  </w:r>
                </w:p>
              </w:tc>
              <w:tc>
                <w:tcPr>
                  <w:tcW w:w="1245" w:type="dxa"/>
                  <w:vMerge w:val="continue"/>
                  <w:vAlign w:val="center"/>
                </w:tcPr>
                <w:p>
                  <w:pPr>
                    <w:spacing w:line="38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restart"/>
                  <w:vAlign w:val="center"/>
                </w:tcPr>
                <w:p>
                  <w:pPr>
                    <w:spacing w:line="380" w:lineRule="exact"/>
                    <w:jc w:val="center"/>
                    <w:rPr>
                      <w:rFonts w:hint="default" w:eastAsia="宋体"/>
                      <w:color w:val="auto"/>
                      <w:highlight w:val="none"/>
                      <w:lang w:val="en-US" w:eastAsia="zh-CN"/>
                    </w:rPr>
                  </w:pPr>
                  <w:r>
                    <w:rPr>
                      <w:rFonts w:hint="eastAsia"/>
                      <w:color w:val="auto"/>
                      <w:highlight w:val="none"/>
                      <w:lang w:val="en-US" w:eastAsia="zh-CN"/>
                    </w:rPr>
                    <w:t>TSP</w:t>
                  </w:r>
                </w:p>
              </w:tc>
              <w:tc>
                <w:tcPr>
                  <w:tcW w:w="2165" w:type="dxa"/>
                  <w:vAlign w:val="center"/>
                </w:tcPr>
                <w:p>
                  <w:pPr>
                    <w:adjustRightInd w:val="0"/>
                    <w:snapToGrid w:val="0"/>
                    <w:spacing w:line="240" w:lineRule="atLeast"/>
                    <w:jc w:val="center"/>
                    <w:rPr>
                      <w:color w:val="auto"/>
                      <w:highlight w:val="none"/>
                    </w:rPr>
                  </w:pPr>
                  <w:r>
                    <w:rPr>
                      <w:rFonts w:hint="default" w:ascii="Times New Roman" w:hAnsi="Times New Roman" w:cs="Times New Roman"/>
                      <w:color w:val="auto"/>
                      <w:sz w:val="23"/>
                      <w:szCs w:val="23"/>
                      <w:highlight w:val="none"/>
                      <w:lang w:val="en-US" w:eastAsia="zh-CN"/>
                    </w:rPr>
                    <w:t>年平均浓度</w:t>
                  </w:r>
                </w:p>
              </w:tc>
              <w:tc>
                <w:tcPr>
                  <w:tcW w:w="2282" w:type="dxa"/>
                  <w:vAlign w:val="center"/>
                </w:tcPr>
                <w:p>
                  <w:pPr>
                    <w:adjustRightInd w:val="0"/>
                    <w:snapToGrid w:val="0"/>
                    <w:spacing w:line="240" w:lineRule="atLeast"/>
                    <w:jc w:val="center"/>
                    <w:rPr>
                      <w:color w:val="auto"/>
                      <w:highlight w:val="none"/>
                    </w:rPr>
                  </w:pPr>
                  <w:r>
                    <w:rPr>
                      <w:rFonts w:hint="default" w:ascii="Times New Roman" w:hAnsi="Times New Roman" w:cs="Times New Roman"/>
                      <w:color w:val="auto"/>
                      <w:sz w:val="23"/>
                      <w:szCs w:val="23"/>
                      <w:highlight w:val="none"/>
                    </w:rPr>
                    <w:t>200</w:t>
                  </w:r>
                </w:p>
              </w:tc>
              <w:tc>
                <w:tcPr>
                  <w:tcW w:w="1245" w:type="dxa"/>
                  <w:vMerge w:val="restart"/>
                  <w:vAlign w:val="center"/>
                </w:tcPr>
                <w:p>
                  <w:pPr>
                    <w:spacing w:line="380" w:lineRule="exact"/>
                    <w:jc w:val="center"/>
                    <w:rPr>
                      <w:color w:val="auto"/>
                      <w:highlight w:val="none"/>
                    </w:rPr>
                  </w:pPr>
                  <w:r>
                    <w:rPr>
                      <w:color w:val="auto"/>
                      <w:highlight w:val="none"/>
                    </w:rPr>
                    <w:t>μg/m</w:t>
                  </w:r>
                  <w:r>
                    <w:rPr>
                      <w:color w:val="auto"/>
                      <w:highlight w:val="none"/>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42" w:type="dxa"/>
                  <w:vMerge w:val="continue"/>
                  <w:vAlign w:val="center"/>
                </w:tcPr>
                <w:p>
                  <w:pPr>
                    <w:spacing w:line="380" w:lineRule="exact"/>
                    <w:jc w:val="center"/>
                    <w:rPr>
                      <w:color w:val="auto"/>
                      <w:highlight w:val="none"/>
                    </w:rPr>
                  </w:pPr>
                </w:p>
              </w:tc>
              <w:tc>
                <w:tcPr>
                  <w:tcW w:w="2165" w:type="dxa"/>
                  <w:vAlign w:val="center"/>
                </w:tcPr>
                <w:p>
                  <w:pPr>
                    <w:adjustRightInd w:val="0"/>
                    <w:snapToGrid w:val="0"/>
                    <w:spacing w:line="240" w:lineRule="atLeast"/>
                    <w:jc w:val="center"/>
                    <w:rPr>
                      <w:color w:val="auto"/>
                      <w:highlight w:val="none"/>
                    </w:rPr>
                  </w:pPr>
                  <w:r>
                    <w:rPr>
                      <w:rFonts w:hint="default" w:ascii="Times New Roman" w:hAnsi="Times New Roman" w:cs="Times New Roman"/>
                      <w:snapToGrid/>
                      <w:color w:val="auto"/>
                      <w:kern w:val="2"/>
                      <w:sz w:val="23"/>
                      <w:szCs w:val="23"/>
                      <w:highlight w:val="none"/>
                    </w:rPr>
                    <w:t>24小时平均浓度</w:t>
                  </w:r>
                </w:p>
              </w:tc>
              <w:tc>
                <w:tcPr>
                  <w:tcW w:w="2282" w:type="dxa"/>
                  <w:vAlign w:val="center"/>
                </w:tcPr>
                <w:p>
                  <w:pPr>
                    <w:adjustRightInd w:val="0"/>
                    <w:snapToGrid w:val="0"/>
                    <w:spacing w:line="240" w:lineRule="atLeast"/>
                    <w:jc w:val="center"/>
                    <w:rPr>
                      <w:color w:val="auto"/>
                      <w:highlight w:val="none"/>
                    </w:rPr>
                  </w:pPr>
                  <w:r>
                    <w:rPr>
                      <w:rFonts w:hint="default" w:ascii="Times New Roman" w:hAnsi="Times New Roman" w:cs="Times New Roman"/>
                      <w:color w:val="auto"/>
                      <w:sz w:val="23"/>
                      <w:szCs w:val="23"/>
                      <w:highlight w:val="none"/>
                      <w:lang w:val="en-US" w:eastAsia="zh-CN"/>
                    </w:rPr>
                    <w:t>3</w:t>
                  </w:r>
                  <w:r>
                    <w:rPr>
                      <w:rFonts w:hint="default" w:ascii="Times New Roman" w:hAnsi="Times New Roman" w:cs="Times New Roman"/>
                      <w:color w:val="auto"/>
                      <w:sz w:val="23"/>
                      <w:szCs w:val="23"/>
                      <w:highlight w:val="none"/>
                    </w:rPr>
                    <w:t>00</w:t>
                  </w:r>
                </w:p>
              </w:tc>
              <w:tc>
                <w:tcPr>
                  <w:tcW w:w="1245" w:type="dxa"/>
                  <w:vMerge w:val="continue"/>
                  <w:vAlign w:val="center"/>
                </w:tcPr>
                <w:p>
                  <w:pPr>
                    <w:spacing w:line="380" w:lineRule="exact"/>
                    <w:jc w:val="center"/>
                    <w:rPr>
                      <w:color w:val="auto"/>
                      <w:highlight w:val="none"/>
                    </w:rPr>
                  </w:pPr>
                </w:p>
              </w:tc>
            </w:tr>
          </w:tbl>
          <w:p>
            <w:pPr>
              <w:numPr>
                <w:ilvl w:val="0"/>
                <w:numId w:val="6"/>
              </w:numPr>
              <w:spacing w:line="440" w:lineRule="exact"/>
              <w:ind w:firstLine="480" w:firstLineChars="200"/>
              <w:rPr>
                <w:color w:val="auto"/>
                <w:sz w:val="24"/>
                <w:highlight w:val="none"/>
              </w:rPr>
            </w:pPr>
            <w:r>
              <w:rPr>
                <w:color w:val="auto"/>
                <w:sz w:val="24"/>
                <w:highlight w:val="none"/>
              </w:rPr>
              <w:t>厂界声环境执行《声环境质量标准》(GB3096-2008)中的</w:t>
            </w:r>
            <w:r>
              <w:rPr>
                <w:rFonts w:hint="eastAsia"/>
                <w:color w:val="auto"/>
                <w:sz w:val="24"/>
                <w:highlight w:val="none"/>
                <w:lang w:val="en-US" w:eastAsia="zh-CN"/>
              </w:rPr>
              <w:t>3</w:t>
            </w:r>
            <w:r>
              <w:rPr>
                <w:color w:val="auto"/>
                <w:sz w:val="24"/>
                <w:highlight w:val="none"/>
              </w:rPr>
              <w:t>类区标准；</w:t>
            </w:r>
          </w:p>
          <w:p>
            <w:pPr>
              <w:spacing w:line="440" w:lineRule="exact"/>
              <w:ind w:firstLine="480" w:firstLineChars="200"/>
              <w:rPr>
                <w:color w:val="auto"/>
                <w:sz w:val="24"/>
                <w:highlight w:val="none"/>
              </w:rPr>
            </w:pPr>
            <w:r>
              <w:rPr>
                <w:rFonts w:hint="eastAsia"/>
                <w:color w:val="auto"/>
                <w:sz w:val="24"/>
                <w:highlight w:val="none"/>
                <w:lang w:val="en-US" w:eastAsia="zh-CN"/>
              </w:rPr>
              <w:t>3</w:t>
            </w:r>
            <w:r>
              <w:rPr>
                <w:color w:val="auto"/>
                <w:sz w:val="24"/>
                <w:highlight w:val="none"/>
              </w:rPr>
              <w:t>类昼间≤6</w:t>
            </w:r>
            <w:r>
              <w:rPr>
                <w:rFonts w:hint="eastAsia"/>
                <w:color w:val="auto"/>
                <w:sz w:val="24"/>
                <w:highlight w:val="none"/>
                <w:lang w:val="en-US" w:eastAsia="zh-CN"/>
              </w:rPr>
              <w:t>5</w:t>
            </w:r>
            <w:r>
              <w:rPr>
                <w:color w:val="auto"/>
                <w:sz w:val="24"/>
                <w:highlight w:val="none"/>
              </w:rPr>
              <w:t>dB(A)，夜间≤5</w:t>
            </w:r>
            <w:r>
              <w:rPr>
                <w:rFonts w:hint="eastAsia"/>
                <w:color w:val="auto"/>
                <w:sz w:val="24"/>
                <w:highlight w:val="none"/>
                <w:lang w:val="en-US" w:eastAsia="zh-CN"/>
              </w:rPr>
              <w:t>5</w:t>
            </w:r>
            <w:r>
              <w:rPr>
                <w:color w:val="auto"/>
                <w:sz w:val="24"/>
                <w:highlight w:val="none"/>
              </w:rPr>
              <w:t>dB(A)；</w:t>
            </w:r>
          </w:p>
          <w:p>
            <w:pPr>
              <w:numPr>
                <w:ilvl w:val="0"/>
                <w:numId w:val="6"/>
              </w:numPr>
              <w:spacing w:line="500" w:lineRule="exact"/>
              <w:ind w:firstLine="480" w:firstLineChars="200"/>
              <w:rPr>
                <w:color w:val="auto"/>
                <w:sz w:val="24"/>
                <w:highlight w:val="none"/>
              </w:rPr>
            </w:pPr>
            <w:r>
              <w:rPr>
                <w:color w:val="auto"/>
                <w:sz w:val="24"/>
                <w:highlight w:val="none"/>
              </w:rPr>
              <w:t>地下水质量执行《地下水质量标准》（GB/T14848-2017）III类标准</w:t>
            </w:r>
            <w:r>
              <w:rPr>
                <w:rFonts w:hint="eastAsia"/>
                <w:color w:val="auto"/>
                <w:sz w:val="24"/>
                <w:highlight w:val="none"/>
              </w:rPr>
              <w:t>。</w:t>
            </w:r>
          </w:p>
          <w:p>
            <w:pPr>
              <w:numPr>
                <w:ilvl w:val="0"/>
                <w:numId w:val="0"/>
              </w:numPr>
              <w:spacing w:line="500" w:lineRule="exact"/>
              <w:ind w:firstLine="480" w:firstLineChars="200"/>
              <w:rPr>
                <w:color w:val="auto"/>
                <w:sz w:val="24"/>
                <w:highlight w:val="none"/>
              </w:rPr>
            </w:pPr>
            <w:r>
              <w:rPr>
                <w:rFonts w:hint="eastAsia"/>
                <w:color w:val="auto"/>
                <w:sz w:val="24"/>
                <w:highlight w:val="none"/>
                <w:lang w:val="en-US" w:eastAsia="zh-CN"/>
              </w:rPr>
              <w:t>4、</w:t>
            </w:r>
            <w:r>
              <w:rPr>
                <w:rFonts w:hint="eastAsia"/>
                <w:color w:val="auto"/>
                <w:sz w:val="24"/>
                <w:highlight w:val="none"/>
                <w:lang w:eastAsia="zh-CN"/>
              </w:rPr>
              <w:t>项</w:t>
            </w:r>
            <w:r>
              <w:rPr>
                <w:rFonts w:hint="eastAsia" w:ascii="Times New Roman" w:hAnsi="Times New Roman"/>
                <w:color w:val="auto"/>
                <w:sz w:val="24"/>
                <w:highlight w:val="none"/>
              </w:rPr>
              <w:t>目所在地土壤质量执行《土壤环境质量</w:t>
            </w:r>
            <w:r>
              <w:rPr>
                <w:rFonts w:hint="eastAsia" w:ascii="Times New Roman" w:hAnsi="Times New Roman"/>
                <w:color w:val="auto"/>
                <w:sz w:val="24"/>
                <w:highlight w:val="none"/>
                <w:lang w:val="en-US"/>
              </w:rPr>
              <w:t xml:space="preserve"> </w:t>
            </w:r>
            <w:r>
              <w:rPr>
                <w:rFonts w:hint="eastAsia" w:ascii="Times New Roman" w:hAnsi="Times New Roman"/>
                <w:color w:val="auto"/>
                <w:sz w:val="24"/>
                <w:highlight w:val="none"/>
              </w:rPr>
              <w:t>建设用地土壤污染风险管控标准（试行）》（GB36600-2018）</w:t>
            </w:r>
            <w:r>
              <w:rPr>
                <w:rFonts w:hint="eastAsia"/>
                <w:color w:val="auto"/>
                <w:sz w:val="24"/>
                <w:highlight w:val="none"/>
              </w:rPr>
              <w:t>表1</w:t>
            </w:r>
            <w:r>
              <w:rPr>
                <w:rFonts w:hint="eastAsia"/>
                <w:color w:val="auto"/>
                <w:sz w:val="24"/>
                <w:highlight w:val="none"/>
                <w:lang w:eastAsia="zh-CN"/>
              </w:rPr>
              <w:t>、表</w:t>
            </w:r>
            <w:r>
              <w:rPr>
                <w:rFonts w:hint="eastAsia"/>
                <w:color w:val="auto"/>
                <w:sz w:val="24"/>
                <w:highlight w:val="none"/>
                <w:lang w:val="en-US" w:eastAsia="zh-CN"/>
              </w:rPr>
              <w:t>2</w:t>
            </w:r>
            <w:r>
              <w:rPr>
                <w:rFonts w:hint="eastAsia" w:ascii="Times New Roman" w:hAnsi="Times New Roman"/>
                <w:color w:val="auto"/>
                <w:sz w:val="24"/>
                <w:highlight w:val="none"/>
              </w:rPr>
              <w:t>中第二类用地中筛选值标准</w:t>
            </w:r>
            <w:r>
              <w:rPr>
                <w:rFonts w:hint="eastAsia" w:ascii="Times New Roman" w:hAnsi="Times New Roman"/>
                <w:color w:val="auto"/>
                <w:sz w:val="24"/>
                <w:highlight w:val="none"/>
                <w:lang w:val="en-US"/>
              </w:rPr>
              <w:t>。</w:t>
            </w:r>
          </w:p>
          <w:p>
            <w:pPr>
              <w:pStyle w:val="30"/>
              <w:rPr>
                <w:color w:val="auto"/>
                <w:sz w:val="24"/>
                <w:highlight w:val="none"/>
              </w:rPr>
            </w:pPr>
          </w:p>
          <w:p>
            <w:pPr>
              <w:pStyle w:val="2"/>
              <w:rPr>
                <w:color w:val="auto"/>
                <w:sz w:val="24"/>
                <w:highlight w:val="none"/>
              </w:rPr>
            </w:pPr>
          </w:p>
          <w:p>
            <w:pPr>
              <w:pStyle w:val="2"/>
              <w:rPr>
                <w:color w:val="auto"/>
                <w:sz w:val="24"/>
                <w:highlight w:val="none"/>
              </w:rPr>
            </w:pPr>
          </w:p>
          <w:p>
            <w:pPr>
              <w:pStyle w:val="2"/>
              <w:rPr>
                <w:color w:val="auto"/>
                <w:sz w:val="24"/>
                <w:highlight w:val="none"/>
              </w:rPr>
            </w:pPr>
          </w:p>
          <w:p>
            <w:pPr>
              <w:pStyle w:val="2"/>
              <w:rPr>
                <w:color w:val="auto"/>
                <w:sz w:val="24"/>
                <w:highlight w:val="none"/>
              </w:rPr>
            </w:pPr>
          </w:p>
          <w:p>
            <w:pPr>
              <w:pStyle w:val="2"/>
              <w:rPr>
                <w:color w:val="auto"/>
                <w:sz w:val="24"/>
                <w:highlight w:val="none"/>
              </w:rPr>
            </w:pPr>
          </w:p>
          <w:p>
            <w:pPr>
              <w:pStyle w:val="2"/>
              <w:rPr>
                <w:color w:val="auto"/>
                <w:sz w:val="24"/>
                <w:highlight w:val="none"/>
              </w:rPr>
            </w:pPr>
          </w:p>
          <w:p>
            <w:pPr>
              <w:pStyle w:val="2"/>
              <w:rPr>
                <w:color w:val="auto"/>
                <w:sz w:val="24"/>
                <w:highlight w:val="none"/>
              </w:rPr>
            </w:pPr>
          </w:p>
          <w:p>
            <w:pPr>
              <w:pStyle w:val="2"/>
              <w:rPr>
                <w:color w:val="auto"/>
                <w:sz w:val="24"/>
                <w:highlight w:val="none"/>
              </w:rPr>
            </w:pPr>
          </w:p>
          <w:p>
            <w:pPr>
              <w:pStyle w:val="2"/>
              <w:rPr>
                <w:color w:val="auto"/>
                <w:sz w:val="24"/>
                <w:highlight w:val="none"/>
              </w:rPr>
            </w:pPr>
          </w:p>
          <w:p>
            <w:pPr>
              <w:numPr>
                <w:ilvl w:val="0"/>
                <w:numId w:val="0"/>
              </w:numPr>
              <w:spacing w:line="500" w:lineRule="exact"/>
              <w:rPr>
                <w:color w:val="auto"/>
                <w:sz w:val="24"/>
                <w:highlight w:val="none"/>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395" w:hRule="atLeast"/>
          <w:jc w:val="center"/>
        </w:trPr>
        <w:tc>
          <w:tcPr>
            <w:tcW w:w="621" w:type="dxa"/>
            <w:vAlign w:val="center"/>
          </w:tcPr>
          <w:p>
            <w:pPr>
              <w:spacing w:line="480" w:lineRule="exact"/>
              <w:jc w:val="center"/>
              <w:rPr>
                <w:b/>
                <w:color w:val="auto"/>
                <w:kern w:val="24"/>
                <w:sz w:val="28"/>
                <w:szCs w:val="28"/>
                <w:highlight w:val="none"/>
              </w:rPr>
            </w:pPr>
            <w:r>
              <w:rPr>
                <w:b/>
                <w:color w:val="auto"/>
                <w:kern w:val="24"/>
                <w:sz w:val="28"/>
                <w:szCs w:val="28"/>
                <w:highlight w:val="none"/>
              </w:rPr>
              <w:t>污</w:t>
            </w:r>
          </w:p>
          <w:p>
            <w:pPr>
              <w:spacing w:line="480" w:lineRule="exact"/>
              <w:jc w:val="center"/>
              <w:rPr>
                <w:b/>
                <w:color w:val="auto"/>
                <w:kern w:val="24"/>
                <w:sz w:val="28"/>
                <w:szCs w:val="28"/>
                <w:highlight w:val="none"/>
              </w:rPr>
            </w:pPr>
            <w:r>
              <w:rPr>
                <w:b/>
                <w:color w:val="auto"/>
                <w:kern w:val="24"/>
                <w:sz w:val="28"/>
                <w:szCs w:val="28"/>
                <w:highlight w:val="none"/>
              </w:rPr>
              <w:t>染</w:t>
            </w:r>
          </w:p>
          <w:p>
            <w:pPr>
              <w:spacing w:line="480" w:lineRule="exact"/>
              <w:jc w:val="center"/>
              <w:rPr>
                <w:b/>
                <w:color w:val="auto"/>
                <w:kern w:val="24"/>
                <w:sz w:val="28"/>
                <w:szCs w:val="28"/>
                <w:highlight w:val="none"/>
              </w:rPr>
            </w:pPr>
            <w:r>
              <w:rPr>
                <w:b/>
                <w:color w:val="auto"/>
                <w:kern w:val="24"/>
                <w:sz w:val="28"/>
                <w:szCs w:val="28"/>
                <w:highlight w:val="none"/>
              </w:rPr>
              <w:t>物</w:t>
            </w:r>
          </w:p>
          <w:p>
            <w:pPr>
              <w:spacing w:line="480" w:lineRule="exact"/>
              <w:jc w:val="center"/>
              <w:rPr>
                <w:b/>
                <w:color w:val="auto"/>
                <w:kern w:val="24"/>
                <w:sz w:val="28"/>
                <w:szCs w:val="28"/>
                <w:highlight w:val="none"/>
              </w:rPr>
            </w:pPr>
            <w:r>
              <w:rPr>
                <w:b/>
                <w:color w:val="auto"/>
                <w:kern w:val="24"/>
                <w:sz w:val="28"/>
                <w:szCs w:val="28"/>
                <w:highlight w:val="none"/>
              </w:rPr>
              <w:t>排</w:t>
            </w:r>
          </w:p>
          <w:p>
            <w:pPr>
              <w:spacing w:line="480" w:lineRule="exact"/>
              <w:jc w:val="center"/>
              <w:rPr>
                <w:b/>
                <w:color w:val="auto"/>
                <w:kern w:val="24"/>
                <w:sz w:val="28"/>
                <w:szCs w:val="28"/>
                <w:highlight w:val="none"/>
              </w:rPr>
            </w:pPr>
            <w:r>
              <w:rPr>
                <w:b/>
                <w:color w:val="auto"/>
                <w:kern w:val="24"/>
                <w:sz w:val="28"/>
                <w:szCs w:val="28"/>
                <w:highlight w:val="none"/>
              </w:rPr>
              <w:t>放</w:t>
            </w:r>
          </w:p>
          <w:p>
            <w:pPr>
              <w:spacing w:line="480" w:lineRule="exact"/>
              <w:jc w:val="center"/>
              <w:rPr>
                <w:b/>
                <w:color w:val="auto"/>
                <w:kern w:val="24"/>
                <w:sz w:val="28"/>
                <w:szCs w:val="28"/>
                <w:highlight w:val="none"/>
              </w:rPr>
            </w:pPr>
            <w:r>
              <w:rPr>
                <w:b/>
                <w:color w:val="auto"/>
                <w:kern w:val="24"/>
                <w:sz w:val="28"/>
                <w:szCs w:val="28"/>
                <w:highlight w:val="none"/>
              </w:rPr>
              <w:t>标</w:t>
            </w:r>
          </w:p>
          <w:p>
            <w:pPr>
              <w:spacing w:line="480" w:lineRule="exact"/>
              <w:jc w:val="center"/>
              <w:rPr>
                <w:color w:val="auto"/>
                <w:kern w:val="24"/>
                <w:sz w:val="28"/>
                <w:szCs w:val="28"/>
                <w:highlight w:val="none"/>
              </w:rPr>
            </w:pPr>
            <w:r>
              <w:rPr>
                <w:b/>
                <w:color w:val="auto"/>
                <w:kern w:val="24"/>
                <w:sz w:val="28"/>
                <w:szCs w:val="28"/>
                <w:highlight w:val="none"/>
              </w:rPr>
              <w:t>准</w:t>
            </w:r>
          </w:p>
        </w:tc>
        <w:tc>
          <w:tcPr>
            <w:tcW w:w="8734" w:type="dxa"/>
            <w:vAlign w:val="center"/>
          </w:tcPr>
          <w:p>
            <w:pPr>
              <w:spacing w:line="480" w:lineRule="exact"/>
              <w:ind w:firstLine="480" w:firstLineChars="200"/>
              <w:rPr>
                <w:rFonts w:hint="eastAsia"/>
                <w:color w:val="auto"/>
                <w:sz w:val="24"/>
                <w:szCs w:val="24"/>
                <w:highlight w:val="none"/>
              </w:rPr>
            </w:pPr>
            <w:r>
              <w:rPr>
                <w:rFonts w:hint="eastAsia"/>
                <w:color w:val="auto"/>
                <w:sz w:val="24"/>
                <w:szCs w:val="24"/>
                <w:highlight w:val="none"/>
              </w:rPr>
              <w:t>施工期：</w:t>
            </w:r>
          </w:p>
          <w:p>
            <w:pPr>
              <w:numPr>
                <w:ilvl w:val="0"/>
                <w:numId w:val="7"/>
              </w:numPr>
              <w:adjustRightInd w:val="0"/>
              <w:spacing w:line="480" w:lineRule="exact"/>
              <w:ind w:firstLine="480" w:firstLineChars="200"/>
              <w:rPr>
                <w:rFonts w:hint="eastAsia"/>
                <w:color w:val="auto"/>
                <w:sz w:val="24"/>
                <w:szCs w:val="24"/>
                <w:highlight w:val="none"/>
              </w:rPr>
            </w:pPr>
            <w:r>
              <w:rPr>
                <w:rFonts w:hint="eastAsia"/>
                <w:color w:val="auto"/>
                <w:sz w:val="24"/>
                <w:szCs w:val="24"/>
                <w:highlight w:val="none"/>
              </w:rPr>
              <w:t>噪声：执行《建筑施工场界环境噪声排放标准》（GB12523—2011）。昼间：</w:t>
            </w:r>
            <w:r>
              <w:rPr>
                <w:rFonts w:hint="eastAsia"/>
                <w:color w:val="auto"/>
                <w:sz w:val="24"/>
                <w:szCs w:val="24"/>
                <w:highlight w:val="none"/>
                <w:lang w:eastAsia="zh-CN"/>
              </w:rPr>
              <w:t>≤</w:t>
            </w:r>
            <w:r>
              <w:rPr>
                <w:rFonts w:hint="eastAsia"/>
                <w:color w:val="auto"/>
                <w:sz w:val="24"/>
                <w:szCs w:val="24"/>
                <w:highlight w:val="none"/>
              </w:rPr>
              <w:t>70dB（A）；夜间：</w:t>
            </w:r>
            <w:r>
              <w:rPr>
                <w:rFonts w:hint="eastAsia"/>
                <w:color w:val="auto"/>
                <w:sz w:val="24"/>
                <w:szCs w:val="24"/>
                <w:highlight w:val="none"/>
                <w:lang w:eastAsia="zh-CN"/>
              </w:rPr>
              <w:t>≤</w:t>
            </w:r>
            <w:r>
              <w:rPr>
                <w:rFonts w:hint="eastAsia"/>
                <w:color w:val="auto"/>
                <w:sz w:val="24"/>
                <w:szCs w:val="24"/>
                <w:highlight w:val="none"/>
              </w:rPr>
              <w:t>55dB（A）。</w:t>
            </w:r>
          </w:p>
          <w:p>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480" w:firstLineChars="200"/>
              <w:textAlignment w:val="auto"/>
              <w:rPr>
                <w:rFonts w:hint="eastAsia" w:eastAsia="宋体"/>
                <w:color w:val="auto"/>
                <w:sz w:val="24"/>
                <w:szCs w:val="24"/>
                <w:highlight w:val="none"/>
                <w:lang w:val="en-US" w:eastAsia="zh-CN"/>
              </w:rPr>
            </w:pPr>
            <w:r>
              <w:rPr>
                <w:rFonts w:hint="eastAsia"/>
                <w:color w:val="auto"/>
                <w:sz w:val="24"/>
                <w:szCs w:val="24"/>
                <w:highlight w:val="none"/>
                <w:lang w:val="en-US" w:eastAsia="zh-CN"/>
              </w:rPr>
              <w:t>2、</w:t>
            </w:r>
            <w:r>
              <w:rPr>
                <w:rFonts w:hint="eastAsia"/>
                <w:color w:val="auto"/>
                <w:sz w:val="24"/>
                <w:szCs w:val="24"/>
                <w:highlight w:val="none"/>
              </w:rPr>
              <w:t>工业固废贮存、处置执行《一般工业固体废物贮存、处置场污染控制标准》（GB18599-2001）及2013年修改单（公告2013年第36号）</w:t>
            </w:r>
            <w:r>
              <w:rPr>
                <w:rFonts w:hint="eastAsia"/>
                <w:color w:val="auto"/>
                <w:sz w:val="24"/>
                <w:szCs w:val="24"/>
                <w:highlight w:val="none"/>
                <w:lang w:eastAsia="zh-CN"/>
              </w:rPr>
              <w:t>。</w:t>
            </w:r>
          </w:p>
          <w:p>
            <w:pPr>
              <w:adjustRightInd w:val="0"/>
              <w:spacing w:line="480" w:lineRule="exact"/>
              <w:ind w:firstLine="480" w:firstLineChars="200"/>
              <w:rPr>
                <w:rFonts w:hint="eastAsia"/>
                <w:color w:val="auto"/>
                <w:sz w:val="24"/>
                <w:szCs w:val="24"/>
                <w:highlight w:val="none"/>
                <w:lang w:eastAsia="zh-CN"/>
              </w:rPr>
            </w:pPr>
            <w:r>
              <w:rPr>
                <w:rFonts w:hint="eastAsia"/>
                <w:color w:val="auto"/>
                <w:sz w:val="24"/>
                <w:szCs w:val="24"/>
                <w:highlight w:val="none"/>
                <w:lang w:eastAsia="zh-CN"/>
              </w:rPr>
              <w:t>营运期：</w:t>
            </w:r>
          </w:p>
          <w:p>
            <w:pPr>
              <w:adjustRightInd w:val="0"/>
              <w:spacing w:line="480" w:lineRule="exact"/>
              <w:ind w:firstLine="480" w:firstLineChars="200"/>
              <w:rPr>
                <w:rFonts w:hint="eastAsia"/>
                <w:color w:val="auto"/>
                <w:sz w:val="24"/>
                <w:szCs w:val="24"/>
                <w:highlight w:val="none"/>
                <w:lang w:eastAsia="zh-CN"/>
              </w:rPr>
            </w:pPr>
            <w:r>
              <w:rPr>
                <w:rFonts w:hint="eastAsia"/>
                <w:color w:val="auto"/>
                <w:sz w:val="24"/>
                <w:szCs w:val="24"/>
                <w:highlight w:val="none"/>
              </w:rPr>
              <w:t>1</w:t>
            </w:r>
            <w:r>
              <w:rPr>
                <w:color w:val="auto"/>
                <w:sz w:val="24"/>
                <w:szCs w:val="24"/>
                <w:highlight w:val="none"/>
              </w:rPr>
              <w:t>、</w:t>
            </w:r>
            <w:r>
              <w:rPr>
                <w:rFonts w:hint="eastAsia"/>
                <w:color w:val="auto"/>
                <w:sz w:val="24"/>
                <w:szCs w:val="24"/>
                <w:highlight w:val="none"/>
                <w:lang w:eastAsia="zh-CN"/>
              </w:rPr>
              <w:t>废气</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eastAsia="zh-CN"/>
              </w:rPr>
              <w:t>有组织废气中的颗粒物排放标准参照</w:t>
            </w:r>
            <w:r>
              <w:rPr>
                <w:rFonts w:hint="default"/>
                <w:color w:val="auto"/>
                <w:sz w:val="24"/>
                <w:szCs w:val="24"/>
                <w:highlight w:val="none"/>
              </w:rPr>
              <w:t>执行《钢铁工业大气污染物超低排放标准》(DB13/2169-2018)中表1轧钢工序（热处理炉、拉矫、精整、抛丸、修磨、焊接机及其他生产设施）颗粒物排放限值要求</w:t>
            </w:r>
            <w:r>
              <w:rPr>
                <w:rFonts w:hint="eastAsia"/>
                <w:color w:val="auto"/>
                <w:sz w:val="24"/>
                <w:szCs w:val="24"/>
                <w:highlight w:val="none"/>
                <w:lang w:eastAsia="zh-CN"/>
              </w:rPr>
              <w:t>，≤</w:t>
            </w:r>
            <w:r>
              <w:rPr>
                <w:rFonts w:hint="default"/>
                <w:color w:val="auto"/>
                <w:sz w:val="24"/>
                <w:szCs w:val="24"/>
                <w:highlight w:val="none"/>
              </w:rPr>
              <w:t>10mg/m</w:t>
            </w:r>
            <w:r>
              <w:rPr>
                <w:rFonts w:hint="default"/>
                <w:color w:val="auto"/>
                <w:sz w:val="24"/>
                <w:szCs w:val="24"/>
                <w:highlight w:val="none"/>
                <w:vertAlign w:val="superscript"/>
              </w:rPr>
              <w:t>3</w:t>
            </w:r>
            <w:r>
              <w:rPr>
                <w:rFonts w:hint="default"/>
                <w:color w:val="auto"/>
                <w:sz w:val="24"/>
                <w:szCs w:val="24"/>
                <w:highlight w:val="none"/>
              </w:rPr>
              <w:t>。</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厂界无组织颗粒物执行</w:t>
            </w:r>
            <w:r>
              <w:rPr>
                <w:color w:val="auto"/>
                <w:sz w:val="24"/>
                <w:szCs w:val="24"/>
                <w:highlight w:val="none"/>
              </w:rPr>
              <w:t>《大气污染物综合排放标准》（GB16297-1996）</w:t>
            </w:r>
            <w:r>
              <w:rPr>
                <w:rFonts w:hint="eastAsia"/>
                <w:color w:val="auto"/>
                <w:sz w:val="24"/>
                <w:szCs w:val="24"/>
                <w:highlight w:val="none"/>
              </w:rPr>
              <w:t>表2</w:t>
            </w:r>
            <w:r>
              <w:rPr>
                <w:color w:val="auto"/>
                <w:sz w:val="24"/>
                <w:szCs w:val="24"/>
                <w:highlight w:val="none"/>
              </w:rPr>
              <w:t>无组织排放监控浓度限值（</w:t>
            </w:r>
            <w:r>
              <w:rPr>
                <w:rFonts w:hint="eastAsia"/>
                <w:color w:val="auto"/>
                <w:sz w:val="24"/>
                <w:szCs w:val="24"/>
                <w:highlight w:val="none"/>
                <w:lang w:eastAsia="zh-CN"/>
              </w:rPr>
              <w:t>≤</w:t>
            </w:r>
            <w:r>
              <w:rPr>
                <w:color w:val="auto"/>
                <w:sz w:val="24"/>
                <w:szCs w:val="24"/>
                <w:highlight w:val="none"/>
              </w:rPr>
              <w:t>1.0mg/m</w:t>
            </w:r>
            <w:r>
              <w:rPr>
                <w:color w:val="auto"/>
                <w:sz w:val="24"/>
                <w:szCs w:val="24"/>
                <w:highlight w:val="none"/>
                <w:vertAlign w:val="superscript"/>
              </w:rPr>
              <w:t>3</w:t>
            </w:r>
            <w:r>
              <w:rPr>
                <w:color w:val="auto"/>
                <w:sz w:val="24"/>
                <w:szCs w:val="24"/>
                <w:highlight w:val="none"/>
              </w:rPr>
              <w:t>）</w:t>
            </w:r>
            <w:r>
              <w:rPr>
                <w:rFonts w:hint="eastAsia"/>
                <w:color w:val="auto"/>
                <w:sz w:val="24"/>
                <w:szCs w:val="24"/>
                <w:highlight w:val="none"/>
                <w:lang w:eastAsia="zh-CN"/>
              </w:rPr>
              <w:t>要求。</w:t>
            </w:r>
          </w:p>
          <w:p>
            <w:pPr>
              <w:spacing w:line="480" w:lineRule="exact"/>
              <w:ind w:firstLine="480" w:firstLineChars="200"/>
              <w:rPr>
                <w:color w:val="auto"/>
                <w:sz w:val="24"/>
                <w:szCs w:val="24"/>
                <w:highlight w:val="none"/>
              </w:rPr>
            </w:pPr>
            <w:r>
              <w:rPr>
                <w:rFonts w:hint="eastAsia"/>
                <w:color w:val="auto"/>
                <w:sz w:val="24"/>
                <w:szCs w:val="24"/>
                <w:highlight w:val="none"/>
              </w:rPr>
              <w:t>2</w:t>
            </w:r>
            <w:r>
              <w:rPr>
                <w:color w:val="auto"/>
                <w:sz w:val="24"/>
                <w:szCs w:val="24"/>
                <w:highlight w:val="none"/>
              </w:rPr>
              <w:t>、营运期厂界噪声执行《工业企业厂界环境噪声排放标准》（GB12348-2008）中</w:t>
            </w:r>
            <w:r>
              <w:rPr>
                <w:rFonts w:hint="eastAsia"/>
                <w:color w:val="auto"/>
                <w:sz w:val="24"/>
                <w:szCs w:val="24"/>
                <w:highlight w:val="none"/>
                <w:lang w:val="en-US" w:eastAsia="zh-CN"/>
              </w:rPr>
              <w:t>3</w:t>
            </w:r>
            <w:r>
              <w:rPr>
                <w:color w:val="auto"/>
                <w:sz w:val="24"/>
                <w:szCs w:val="24"/>
                <w:highlight w:val="none"/>
              </w:rPr>
              <w:t>类标准，即昼间≤6</w:t>
            </w:r>
            <w:r>
              <w:rPr>
                <w:rFonts w:hint="eastAsia"/>
                <w:color w:val="auto"/>
                <w:sz w:val="24"/>
                <w:szCs w:val="24"/>
                <w:highlight w:val="none"/>
                <w:lang w:val="en-US" w:eastAsia="zh-CN"/>
              </w:rPr>
              <w:t>5</w:t>
            </w:r>
            <w:r>
              <w:rPr>
                <w:color w:val="auto"/>
                <w:sz w:val="24"/>
                <w:szCs w:val="24"/>
                <w:highlight w:val="none"/>
              </w:rPr>
              <w:t>dB(A)，夜间≤5</w:t>
            </w:r>
            <w:r>
              <w:rPr>
                <w:rFonts w:hint="eastAsia"/>
                <w:color w:val="auto"/>
                <w:sz w:val="24"/>
                <w:szCs w:val="24"/>
                <w:highlight w:val="none"/>
                <w:lang w:val="en-US" w:eastAsia="zh-CN"/>
              </w:rPr>
              <w:t>5</w:t>
            </w:r>
            <w:r>
              <w:rPr>
                <w:color w:val="auto"/>
                <w:sz w:val="24"/>
                <w:szCs w:val="24"/>
                <w:highlight w:val="none"/>
              </w:rPr>
              <w:t>dB(A)。</w:t>
            </w:r>
          </w:p>
          <w:p>
            <w:pPr>
              <w:spacing w:line="460" w:lineRule="exact"/>
              <w:ind w:firstLine="480" w:firstLineChars="200"/>
              <w:rPr>
                <w:color w:val="auto"/>
                <w:sz w:val="24"/>
                <w:szCs w:val="24"/>
                <w:highlight w:val="none"/>
              </w:rPr>
            </w:pPr>
            <w:r>
              <w:rPr>
                <w:color w:val="auto"/>
                <w:sz w:val="24"/>
                <w:szCs w:val="24"/>
                <w:highlight w:val="none"/>
              </w:rPr>
              <w:t>3</w:t>
            </w:r>
            <w:r>
              <w:rPr>
                <w:rFonts w:hint="eastAsia"/>
                <w:color w:val="auto"/>
                <w:sz w:val="24"/>
                <w:szCs w:val="24"/>
                <w:highlight w:val="none"/>
              </w:rPr>
              <w:t>、</w:t>
            </w:r>
            <w:r>
              <w:rPr>
                <w:color w:val="auto"/>
                <w:sz w:val="24"/>
                <w:szCs w:val="24"/>
                <w:highlight w:val="none"/>
              </w:rPr>
              <w:t>工业固废贮存、处置执行《一般工业固体废物贮存、处置场污染控制标准》（GB18599-2001）及2013年修改单（公告2013年第36号），危险废物执行《危险废物贮存污染控制标准》（GB18597-2001）中标准及其修改单（公告2013年第36号）中的标准。</w:t>
            </w:r>
          </w:p>
          <w:p>
            <w:pPr>
              <w:spacing w:line="460" w:lineRule="exact"/>
              <w:ind w:firstLine="420" w:firstLineChars="200"/>
              <w:rPr>
                <w:color w:val="auto"/>
                <w:highlight w:val="none"/>
              </w:rPr>
            </w:pPr>
          </w:p>
          <w:p>
            <w:pPr>
              <w:pStyle w:val="30"/>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spacing w:line="460" w:lineRule="exact"/>
              <w:ind w:firstLine="420" w:firstLineChars="200"/>
              <w:rPr>
                <w:color w:val="auto"/>
                <w:highlight w:val="none"/>
              </w:rPr>
            </w:pPr>
          </w:p>
          <w:p>
            <w:pPr>
              <w:spacing w:line="460" w:lineRule="exact"/>
              <w:ind w:firstLine="420" w:firstLineChars="200"/>
              <w:rPr>
                <w:color w:val="auto"/>
                <w:highlight w:val="none"/>
              </w:rPr>
            </w:pPr>
          </w:p>
          <w:p>
            <w:pPr>
              <w:pStyle w:val="2"/>
              <w:rPr>
                <w:color w:val="auto"/>
                <w:kern w:val="24"/>
                <w:sz w:val="28"/>
                <w:szCs w:val="28"/>
                <w:highlight w:val="none"/>
              </w:rPr>
            </w:pPr>
          </w:p>
          <w:p>
            <w:pPr>
              <w:pStyle w:val="2"/>
              <w:rPr>
                <w:color w:val="auto"/>
                <w:kern w:val="24"/>
                <w:sz w:val="28"/>
                <w:szCs w:val="28"/>
                <w:highlight w:val="none"/>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3446" w:hRule="atLeast"/>
          <w:jc w:val="center"/>
        </w:trPr>
        <w:tc>
          <w:tcPr>
            <w:tcW w:w="621" w:type="dxa"/>
            <w:vAlign w:val="center"/>
          </w:tcPr>
          <w:p>
            <w:pPr>
              <w:spacing w:line="480" w:lineRule="exact"/>
              <w:jc w:val="center"/>
              <w:rPr>
                <w:b/>
                <w:color w:val="auto"/>
                <w:kern w:val="24"/>
                <w:sz w:val="28"/>
                <w:szCs w:val="28"/>
                <w:highlight w:val="none"/>
              </w:rPr>
            </w:pPr>
            <w:r>
              <w:rPr>
                <w:b/>
                <w:color w:val="auto"/>
                <w:kern w:val="24"/>
                <w:sz w:val="28"/>
                <w:szCs w:val="28"/>
                <w:highlight w:val="none"/>
              </w:rPr>
              <w:t>总</w:t>
            </w:r>
          </w:p>
          <w:p>
            <w:pPr>
              <w:spacing w:line="480" w:lineRule="exact"/>
              <w:jc w:val="center"/>
              <w:rPr>
                <w:b/>
                <w:color w:val="auto"/>
                <w:kern w:val="24"/>
                <w:sz w:val="28"/>
                <w:szCs w:val="28"/>
                <w:highlight w:val="none"/>
              </w:rPr>
            </w:pPr>
            <w:r>
              <w:rPr>
                <w:b/>
                <w:color w:val="auto"/>
                <w:kern w:val="24"/>
                <w:sz w:val="28"/>
                <w:szCs w:val="28"/>
                <w:highlight w:val="none"/>
              </w:rPr>
              <w:t>量</w:t>
            </w:r>
          </w:p>
          <w:p>
            <w:pPr>
              <w:spacing w:line="480" w:lineRule="exact"/>
              <w:jc w:val="center"/>
              <w:rPr>
                <w:b/>
                <w:color w:val="auto"/>
                <w:kern w:val="24"/>
                <w:sz w:val="28"/>
                <w:szCs w:val="28"/>
                <w:highlight w:val="none"/>
              </w:rPr>
            </w:pPr>
            <w:r>
              <w:rPr>
                <w:b/>
                <w:color w:val="auto"/>
                <w:kern w:val="24"/>
                <w:sz w:val="28"/>
                <w:szCs w:val="28"/>
                <w:highlight w:val="none"/>
              </w:rPr>
              <w:t>控</w:t>
            </w:r>
          </w:p>
          <w:p>
            <w:pPr>
              <w:spacing w:line="480" w:lineRule="exact"/>
              <w:jc w:val="center"/>
              <w:rPr>
                <w:b/>
                <w:color w:val="auto"/>
                <w:kern w:val="24"/>
                <w:sz w:val="28"/>
                <w:szCs w:val="28"/>
                <w:highlight w:val="none"/>
              </w:rPr>
            </w:pPr>
            <w:r>
              <w:rPr>
                <w:b/>
                <w:color w:val="auto"/>
                <w:kern w:val="24"/>
                <w:sz w:val="28"/>
                <w:szCs w:val="28"/>
                <w:highlight w:val="none"/>
              </w:rPr>
              <w:t>制</w:t>
            </w:r>
          </w:p>
          <w:p>
            <w:pPr>
              <w:spacing w:line="480" w:lineRule="exact"/>
              <w:jc w:val="center"/>
              <w:rPr>
                <w:b/>
                <w:color w:val="auto"/>
                <w:kern w:val="24"/>
                <w:sz w:val="28"/>
                <w:szCs w:val="28"/>
                <w:highlight w:val="none"/>
              </w:rPr>
            </w:pPr>
            <w:r>
              <w:rPr>
                <w:b/>
                <w:color w:val="auto"/>
                <w:kern w:val="24"/>
                <w:sz w:val="28"/>
                <w:szCs w:val="28"/>
                <w:highlight w:val="none"/>
              </w:rPr>
              <w:t>标</w:t>
            </w:r>
          </w:p>
          <w:p>
            <w:pPr>
              <w:spacing w:line="480" w:lineRule="exact"/>
              <w:jc w:val="center"/>
              <w:rPr>
                <w:color w:val="auto"/>
                <w:kern w:val="24"/>
                <w:sz w:val="28"/>
                <w:szCs w:val="28"/>
                <w:highlight w:val="none"/>
              </w:rPr>
            </w:pPr>
            <w:r>
              <w:rPr>
                <w:b/>
                <w:color w:val="auto"/>
                <w:kern w:val="24"/>
                <w:sz w:val="28"/>
                <w:szCs w:val="28"/>
                <w:highlight w:val="none"/>
              </w:rPr>
              <w:t>准</w:t>
            </w:r>
          </w:p>
        </w:tc>
        <w:tc>
          <w:tcPr>
            <w:tcW w:w="8734" w:type="dxa"/>
          </w:tcPr>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sz w:val="24"/>
                <w:szCs w:val="24"/>
                <w:highlight w:val="none"/>
              </w:rPr>
            </w:pPr>
            <w:r>
              <w:rPr>
                <w:color w:val="auto"/>
                <w:sz w:val="24"/>
                <w:szCs w:val="24"/>
                <w:highlight w:val="none"/>
              </w:rPr>
              <w:t>根据“十三五”期间污染物总量控制目标，结合本项目特点、排污特征，确定本工程污染物总量控制因子为COD、氨氮、SO</w:t>
            </w:r>
            <w:r>
              <w:rPr>
                <w:color w:val="auto"/>
                <w:sz w:val="24"/>
                <w:szCs w:val="24"/>
                <w:highlight w:val="none"/>
                <w:vertAlign w:val="subscript"/>
              </w:rPr>
              <w:t>2</w:t>
            </w:r>
            <w:r>
              <w:rPr>
                <w:color w:val="auto"/>
                <w:sz w:val="24"/>
                <w:szCs w:val="24"/>
                <w:highlight w:val="none"/>
              </w:rPr>
              <w:t>、NO</w:t>
            </w:r>
            <w:r>
              <w:rPr>
                <w:color w:val="auto"/>
                <w:sz w:val="24"/>
                <w:szCs w:val="24"/>
                <w:highlight w:val="none"/>
                <w:vertAlign w:val="subscript"/>
              </w:rPr>
              <w:t>X</w:t>
            </w:r>
            <w:r>
              <w:rPr>
                <w:rFonts w:hint="eastAsia"/>
                <w:color w:val="auto"/>
                <w:sz w:val="24"/>
                <w:szCs w:val="24"/>
                <w:highlight w:val="none"/>
              </w:rPr>
              <w:t>、颗粒物</w:t>
            </w:r>
            <w:r>
              <w:rPr>
                <w:color w:val="auto"/>
                <w:sz w:val="24"/>
                <w:szCs w:val="24"/>
                <w:highlight w:val="none"/>
              </w:rPr>
              <w:t>。按照《关于进一步改革和优化建设项目主要污染物排放总量核定工作的通知》（冀环总[2014]283号）的要求核算：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cs="TimesNewRomanPSMT"/>
                <w:color w:val="auto"/>
                <w:sz w:val="24"/>
                <w:szCs w:val="24"/>
                <w:highlight w:val="none"/>
              </w:rPr>
            </w:pPr>
            <w:r>
              <w:rPr>
                <w:rFonts w:hint="eastAsia" w:cs="TimesNewRomanPSMT"/>
                <w:color w:val="auto"/>
                <w:sz w:val="24"/>
                <w:szCs w:val="24"/>
                <w:highlight w:val="none"/>
              </w:rPr>
              <w:t>（1）废气</w:t>
            </w:r>
          </w:p>
          <w:p>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color w:val="auto"/>
                <w:sz w:val="24"/>
                <w:highlight w:val="none"/>
              </w:rPr>
            </w:pPr>
            <w:r>
              <w:rPr>
                <w:color w:val="auto"/>
                <w:sz w:val="24"/>
                <w:highlight w:val="none"/>
              </w:rPr>
              <w:t>本</w:t>
            </w:r>
            <w:r>
              <w:rPr>
                <w:rFonts w:hint="eastAsia"/>
                <w:color w:val="auto"/>
                <w:sz w:val="24"/>
                <w:highlight w:val="none"/>
                <w:lang w:eastAsia="zh-CN"/>
              </w:rPr>
              <w:t>次技改</w:t>
            </w:r>
            <w:r>
              <w:rPr>
                <w:color w:val="auto"/>
                <w:sz w:val="24"/>
                <w:highlight w:val="none"/>
              </w:rPr>
              <w:t>项目废气为</w:t>
            </w:r>
            <w:r>
              <w:rPr>
                <w:color w:val="auto"/>
                <w:spacing w:val="8"/>
                <w:kern w:val="24"/>
                <w:sz w:val="24"/>
                <w:highlight w:val="none"/>
                <w:lang w:val="zh-CN"/>
              </w:rPr>
              <w:t>主要为</w:t>
            </w:r>
            <w:r>
              <w:rPr>
                <w:rFonts w:hint="eastAsia"/>
                <w:color w:val="auto"/>
                <w:spacing w:val="8"/>
                <w:kern w:val="24"/>
                <w:sz w:val="24"/>
                <w:highlight w:val="none"/>
                <w:lang w:val="zh-CN"/>
              </w:rPr>
              <w:t>数控火焰切割机废气、自制抛光机废气</w:t>
            </w:r>
            <w:r>
              <w:rPr>
                <w:color w:val="auto"/>
                <w:sz w:val="24"/>
                <w:highlight w:val="none"/>
              </w:rPr>
              <w:t>。</w:t>
            </w:r>
          </w:p>
          <w:p>
            <w:pPr>
              <w:pStyle w:val="22"/>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eastAsia="宋体"/>
                <w:color w:val="auto"/>
                <w:spacing w:val="8"/>
                <w:kern w:val="24"/>
                <w:sz w:val="24"/>
                <w:szCs w:val="24"/>
                <w:highlight w:val="none"/>
                <w:lang w:val="zh-CN" w:eastAsia="zh-CN"/>
              </w:rPr>
            </w:pPr>
            <w:r>
              <w:rPr>
                <w:rFonts w:hint="eastAsia"/>
                <w:color w:val="auto"/>
                <w:spacing w:val="8"/>
                <w:kern w:val="24"/>
                <w:sz w:val="24"/>
                <w:highlight w:val="none"/>
                <w:lang w:val="zh-CN"/>
              </w:rPr>
              <w:t>数控火焰切割机</w:t>
            </w:r>
            <w:r>
              <w:rPr>
                <w:rFonts w:hint="eastAsia"/>
                <w:color w:val="auto"/>
                <w:spacing w:val="8"/>
                <w:kern w:val="24"/>
                <w:sz w:val="24"/>
                <w:highlight w:val="none"/>
                <w:lang w:val="en-US" w:eastAsia="zh-CN"/>
              </w:rPr>
              <w:t>在操作平台两侧分别设置3个吸风口，收集后的废气引入1套脉冲布袋除尘器处理后，经1根15m高排气筒排放。</w:t>
            </w:r>
            <w:r>
              <w:rPr>
                <w:rFonts w:hint="eastAsia"/>
                <w:color w:val="auto"/>
                <w:spacing w:val="8"/>
                <w:kern w:val="24"/>
                <w:sz w:val="24"/>
                <w:highlight w:val="none"/>
                <w:lang w:val="zh-CN"/>
              </w:rPr>
              <w:t>自制抛光机三面围挡，废气</w:t>
            </w:r>
            <w:r>
              <w:rPr>
                <w:rFonts w:hint="eastAsia"/>
                <w:color w:val="auto"/>
                <w:spacing w:val="8"/>
                <w:kern w:val="24"/>
                <w:sz w:val="24"/>
                <w:highlight w:val="none"/>
                <w:lang w:val="en-US" w:eastAsia="zh-CN"/>
              </w:rPr>
              <w:t>收集后的废气引入1套脉冲布袋除尘器处理后，经1根15m高排气筒排放</w:t>
            </w:r>
            <w:r>
              <w:rPr>
                <w:rFonts w:hint="eastAsia"/>
                <w:color w:val="auto"/>
                <w:spacing w:val="8"/>
                <w:kern w:val="24"/>
                <w:sz w:val="24"/>
                <w:highlight w:val="none"/>
                <w:lang w:val="zh-CN"/>
              </w:rPr>
              <w:t>。未收集的废气无组织排放。</w:t>
            </w:r>
          </w:p>
          <w:p>
            <w:pPr>
              <w:spacing w:line="360" w:lineRule="auto"/>
              <w:ind w:firstLine="480" w:firstLineChars="200"/>
              <w:jc w:val="left"/>
              <w:rPr>
                <w:rFonts w:hint="eastAsia" w:cs="TimesNewRomanPSMT"/>
                <w:color w:val="auto"/>
                <w:sz w:val="24"/>
                <w:szCs w:val="24"/>
                <w:highlight w:val="none"/>
                <w:lang w:eastAsia="zh-CN"/>
              </w:rPr>
            </w:pPr>
            <w:r>
              <w:rPr>
                <w:rFonts w:hint="eastAsia" w:cs="TimesNewRomanPSMT"/>
                <w:color w:val="auto"/>
                <w:sz w:val="24"/>
                <w:szCs w:val="24"/>
                <w:highlight w:val="none"/>
                <w:lang w:eastAsia="zh-CN"/>
              </w:rPr>
              <w:t>技改项目实施后颗粒物环评预测排放量为：0.01634t/a；</w:t>
            </w:r>
          </w:p>
          <w:p>
            <w:pPr>
              <w:spacing w:line="360" w:lineRule="auto"/>
              <w:ind w:firstLine="480" w:firstLineChars="200"/>
              <w:rPr>
                <w:rFonts w:hint="eastAsia" w:eastAsia="宋体"/>
                <w:color w:val="auto"/>
                <w:sz w:val="24"/>
                <w:highlight w:val="none"/>
                <w:lang w:eastAsia="zh-CN"/>
              </w:rPr>
            </w:pPr>
            <w:r>
              <w:rPr>
                <w:rFonts w:hint="eastAsia" w:ascii="宋体" w:hAnsi="宋体"/>
                <w:color w:val="auto"/>
                <w:sz w:val="24"/>
                <w:szCs w:val="24"/>
                <w:highlight w:val="none"/>
              </w:rPr>
              <w:t>（</w:t>
            </w:r>
            <w:r>
              <w:rPr>
                <w:rFonts w:ascii="Times New Roman" w:hAnsi="Times New Roman"/>
                <w:color w:val="auto"/>
                <w:sz w:val="24"/>
                <w:szCs w:val="24"/>
                <w:highlight w:val="none"/>
              </w:rPr>
              <w:t>2</w:t>
            </w:r>
            <w:r>
              <w:rPr>
                <w:rFonts w:hint="eastAsia" w:ascii="宋体" w:hAnsi="宋体"/>
                <w:color w:val="auto"/>
                <w:sz w:val="24"/>
                <w:szCs w:val="24"/>
                <w:highlight w:val="none"/>
              </w:rPr>
              <w:t>）废水：</w:t>
            </w:r>
            <w:r>
              <w:rPr>
                <w:rFonts w:hint="eastAsia" w:ascii="宋体" w:hAnsi="宋体"/>
                <w:color w:val="auto"/>
                <w:sz w:val="24"/>
                <w:szCs w:val="24"/>
                <w:highlight w:val="none"/>
                <w:lang w:eastAsia="zh-CN"/>
              </w:rPr>
              <w:t>本次技改项目无新增生活污水，切削液定期作为危废处理，无新增废水。</w:t>
            </w:r>
          </w:p>
          <w:p>
            <w:pPr>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建议总量控制指标：</w:t>
            </w:r>
          </w:p>
          <w:p>
            <w:pPr>
              <w:spacing w:line="360" w:lineRule="auto"/>
              <w:ind w:firstLine="480" w:firstLineChars="200"/>
              <w:rPr>
                <w:color w:val="auto"/>
                <w:sz w:val="24"/>
                <w:highlight w:val="none"/>
              </w:rPr>
            </w:pPr>
            <w:r>
              <w:rPr>
                <w:color w:val="auto"/>
                <w:sz w:val="24"/>
                <w:highlight w:val="none"/>
              </w:rPr>
              <w:t>废水：COD：</w:t>
            </w:r>
            <w:r>
              <w:rPr>
                <w:rFonts w:hint="eastAsia"/>
                <w:color w:val="auto"/>
                <w:sz w:val="24"/>
                <w:highlight w:val="none"/>
                <w:lang w:val="en-US" w:eastAsia="zh-CN"/>
              </w:rPr>
              <w:t>0</w:t>
            </w:r>
            <w:r>
              <w:rPr>
                <w:color w:val="auto"/>
                <w:sz w:val="24"/>
                <w:highlight w:val="none"/>
              </w:rPr>
              <w:t>t/a、氨氮：</w:t>
            </w:r>
            <w:r>
              <w:rPr>
                <w:rFonts w:hint="eastAsia"/>
                <w:color w:val="auto"/>
                <w:sz w:val="24"/>
                <w:highlight w:val="none"/>
                <w:lang w:val="en-US" w:eastAsia="zh-CN"/>
              </w:rPr>
              <w:t>0</w:t>
            </w:r>
            <w:r>
              <w:rPr>
                <w:color w:val="auto"/>
                <w:sz w:val="24"/>
                <w:highlight w:val="none"/>
              </w:rPr>
              <w:t>t/a；</w:t>
            </w:r>
          </w:p>
          <w:p>
            <w:pPr>
              <w:pStyle w:val="49"/>
              <w:spacing w:line="360" w:lineRule="auto"/>
              <w:ind w:firstLine="480" w:firstLineChars="200"/>
              <w:rPr>
                <w:rFonts w:ascii="Times New Roman"/>
                <w:color w:val="auto"/>
                <w:highlight w:val="none"/>
              </w:rPr>
            </w:pPr>
            <w:r>
              <w:rPr>
                <w:rFonts w:ascii="Times New Roman"/>
                <w:color w:val="auto"/>
                <w:highlight w:val="none"/>
              </w:rPr>
              <w:t>废气：SO</w:t>
            </w:r>
            <w:r>
              <w:rPr>
                <w:rFonts w:ascii="Times New Roman"/>
                <w:color w:val="auto"/>
                <w:highlight w:val="none"/>
                <w:vertAlign w:val="subscript"/>
              </w:rPr>
              <w:t>2</w:t>
            </w:r>
            <w:r>
              <w:rPr>
                <w:rFonts w:ascii="Times New Roman"/>
                <w:color w:val="auto"/>
                <w:highlight w:val="none"/>
              </w:rPr>
              <w:t>：</w:t>
            </w:r>
            <w:r>
              <w:rPr>
                <w:rFonts w:hint="eastAsia" w:ascii="Times New Roman"/>
                <w:color w:val="auto"/>
                <w:highlight w:val="none"/>
                <w:lang w:val="en-US" w:eastAsia="zh-CN"/>
              </w:rPr>
              <w:t>0</w:t>
            </w:r>
            <w:r>
              <w:rPr>
                <w:rFonts w:ascii="Times New Roman"/>
                <w:color w:val="auto"/>
                <w:highlight w:val="none"/>
              </w:rPr>
              <w:t>t/a、NOx：0t/a</w:t>
            </w:r>
            <w:r>
              <w:rPr>
                <w:rFonts w:hint="eastAsia" w:ascii="Times New Roman"/>
                <w:color w:val="auto"/>
                <w:highlight w:val="none"/>
              </w:rPr>
              <w:t>、颗粒物：</w:t>
            </w:r>
            <w:r>
              <w:rPr>
                <w:rFonts w:hint="eastAsia" w:ascii="Times New Roman"/>
                <w:color w:val="auto"/>
                <w:highlight w:val="none"/>
                <w:lang w:val="en-US" w:eastAsia="zh-CN"/>
              </w:rPr>
              <w:t>0.01634</w:t>
            </w:r>
            <w:r>
              <w:rPr>
                <w:rFonts w:ascii="Times New Roman"/>
                <w:color w:val="auto"/>
                <w:highlight w:val="none"/>
              </w:rPr>
              <w:t>t/a。</w:t>
            </w:r>
          </w:p>
          <w:p>
            <w:pPr>
              <w:spacing w:line="440" w:lineRule="exact"/>
              <w:ind w:firstLine="480" w:firstLineChars="200"/>
              <w:jc w:val="left"/>
              <w:rPr>
                <w:rFonts w:hint="default" w:ascii="Times New Roman" w:hAnsi="Times New Roman" w:cs="Times New Roman" w:eastAsiaTheme="minorEastAsia"/>
                <w:color w:val="auto"/>
                <w:sz w:val="24"/>
                <w:highlight w:val="none"/>
                <w:lang w:val="en-US" w:eastAsia="zh-CN"/>
              </w:rPr>
            </w:pPr>
            <w:r>
              <w:rPr>
                <w:rFonts w:hint="eastAsia" w:ascii="宋体" w:hAnsi="宋体"/>
                <w:color w:val="auto"/>
                <w:sz w:val="24"/>
                <w:szCs w:val="24"/>
                <w:highlight w:val="none"/>
              </w:rPr>
              <w:t>（</w:t>
            </w:r>
            <w:r>
              <w:rPr>
                <w:rFonts w:hint="eastAsia"/>
                <w:color w:val="auto"/>
                <w:sz w:val="24"/>
                <w:szCs w:val="24"/>
                <w:highlight w:val="none"/>
                <w:lang w:val="en-US" w:eastAsia="zh-CN"/>
              </w:rPr>
              <w:t>4</w:t>
            </w:r>
            <w:r>
              <w:rPr>
                <w:rFonts w:hint="eastAsia" w:ascii="宋体" w:hAnsi="宋体"/>
                <w:color w:val="auto"/>
                <w:sz w:val="24"/>
                <w:szCs w:val="24"/>
                <w:highlight w:val="none"/>
              </w:rPr>
              <w:t>）</w:t>
            </w:r>
            <w:r>
              <w:rPr>
                <w:rFonts w:hint="eastAsia" w:cs="Times New Roman"/>
                <w:color w:val="auto"/>
                <w:sz w:val="24"/>
                <w:highlight w:val="none"/>
                <w:lang w:val="en-US" w:eastAsia="zh-CN"/>
              </w:rPr>
              <w:t>技改</w:t>
            </w:r>
            <w:r>
              <w:rPr>
                <w:rFonts w:hint="default" w:ascii="Times New Roman" w:hAnsi="Times New Roman" w:cs="Times New Roman"/>
                <w:color w:val="auto"/>
                <w:sz w:val="24"/>
                <w:highlight w:val="none"/>
                <w:lang w:val="en-US" w:eastAsia="zh-CN"/>
              </w:rPr>
              <w:t>项目三本账</w:t>
            </w:r>
          </w:p>
          <w:p>
            <w:pPr>
              <w:spacing w:line="440" w:lineRule="exact"/>
              <w:ind w:firstLine="482" w:firstLineChars="200"/>
              <w:jc w:val="center"/>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eastAsia" w:cs="Times New Roman"/>
                <w:b/>
                <w:bCs/>
                <w:color w:val="auto"/>
                <w:sz w:val="24"/>
                <w:highlight w:val="none"/>
                <w:lang w:val="en-US" w:eastAsia="zh-CN"/>
              </w:rPr>
              <w:t>16</w:t>
            </w:r>
            <w:r>
              <w:rPr>
                <w:rFonts w:hint="default" w:ascii="Times New Roman" w:hAnsi="Times New Roman" w:eastAsia="宋体" w:cs="Times New Roman"/>
                <w:b/>
                <w:bCs/>
                <w:color w:val="auto"/>
                <w:sz w:val="24"/>
                <w:highlight w:val="none"/>
              </w:rPr>
              <w:t xml:space="preserve"> </w:t>
            </w:r>
            <w:r>
              <w:rPr>
                <w:rFonts w:hint="default" w:ascii="Times New Roman" w:hAnsi="Times New Roman" w:eastAsia="宋体" w:cs="Times New Roman"/>
                <w:b/>
                <w:bCs/>
                <w:color w:val="auto"/>
                <w:sz w:val="24"/>
                <w:highlight w:val="none"/>
                <w:lang w:val="en-US" w:eastAsia="zh-CN"/>
              </w:rPr>
              <w:t xml:space="preserve"> </w:t>
            </w:r>
            <w:r>
              <w:rPr>
                <w:rFonts w:hint="default" w:ascii="Times New Roman" w:hAnsi="Times New Roman" w:eastAsia="宋体" w:cs="Times New Roman"/>
                <w:b/>
                <w:bCs/>
                <w:color w:val="auto"/>
                <w:sz w:val="24"/>
                <w:highlight w:val="none"/>
              </w:rPr>
              <w:t xml:space="preserve"> </w:t>
            </w:r>
            <w:r>
              <w:rPr>
                <w:rFonts w:hint="eastAsia" w:cs="Times New Roman"/>
                <w:b/>
                <w:bCs/>
                <w:color w:val="auto"/>
                <w:sz w:val="24"/>
                <w:highlight w:val="none"/>
                <w:lang w:eastAsia="zh-CN"/>
              </w:rPr>
              <w:t>技改</w:t>
            </w:r>
            <w:r>
              <w:rPr>
                <w:rFonts w:hint="default" w:ascii="Times New Roman" w:hAnsi="Times New Roman" w:eastAsia="宋体" w:cs="Times New Roman"/>
                <w:b/>
                <w:bCs/>
                <w:color w:val="auto"/>
                <w:sz w:val="24"/>
                <w:highlight w:val="none"/>
              </w:rPr>
              <w:t>项目</w:t>
            </w:r>
            <w:r>
              <w:rPr>
                <w:rFonts w:hint="default" w:ascii="Times New Roman" w:hAnsi="Times New Roman" w:eastAsia="宋体" w:cs="Times New Roman"/>
                <w:b/>
                <w:bCs/>
                <w:color w:val="auto"/>
                <w:sz w:val="24"/>
                <w:highlight w:val="none"/>
                <w:lang w:eastAsia="zh-CN"/>
              </w:rPr>
              <w:t>“三本账”一览表</w:t>
            </w:r>
            <w:r>
              <w:rPr>
                <w:rFonts w:hint="default" w:ascii="Times New Roman" w:hAnsi="Times New Roman" w:eastAsia="宋体" w:cs="Times New Roman"/>
                <w:b/>
                <w:bCs/>
                <w:color w:val="auto"/>
                <w:sz w:val="24"/>
                <w:highlight w:val="none"/>
              </w:rPr>
              <w:t xml:space="preserve">   单位：t/a</w:t>
            </w:r>
          </w:p>
          <w:tbl>
            <w:tblPr>
              <w:tblStyle w:val="3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9"/>
              <w:gridCol w:w="1213"/>
              <w:gridCol w:w="1250"/>
              <w:gridCol w:w="1312"/>
              <w:gridCol w:w="1274"/>
              <w:gridCol w:w="1426"/>
              <w:gridCol w:w="124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2032" w:type="dxa"/>
                  <w:gridSpan w:val="2"/>
                  <w:vAlign w:val="center"/>
                </w:tcPr>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w:t>
                  </w:r>
                </w:p>
              </w:tc>
              <w:tc>
                <w:tcPr>
                  <w:tcW w:w="1250" w:type="dxa"/>
                  <w:vAlign w:val="center"/>
                </w:tcPr>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现有</w:t>
                  </w:r>
                  <w:r>
                    <w:rPr>
                      <w:rFonts w:hint="default" w:ascii="Times New Roman" w:hAnsi="Times New Roman" w:cs="Times New Roman"/>
                      <w:color w:val="auto"/>
                      <w:sz w:val="21"/>
                      <w:szCs w:val="21"/>
                      <w:highlight w:val="none"/>
                    </w:rPr>
                    <w:t>项目</w:t>
                  </w:r>
                </w:p>
                <w:p>
                  <w:pPr>
                    <w:spacing w:line="360" w:lineRule="exact"/>
                    <w:jc w:val="center"/>
                    <w:rPr>
                      <w:rFonts w:hint="default" w:ascii="Times New Roman" w:hAnsi="Times New Roman" w:cs="Times New Roman" w:eastAsiaTheme="minorEastAsia"/>
                      <w:color w:val="auto"/>
                      <w:sz w:val="21"/>
                      <w:szCs w:val="21"/>
                      <w:highlight w:val="none"/>
                      <w:lang w:eastAsia="zh-CN"/>
                    </w:rPr>
                  </w:pPr>
                  <w:r>
                    <w:rPr>
                      <w:rFonts w:hint="default" w:ascii="Times New Roman" w:hAnsi="Times New Roman" w:cs="Times New Roman"/>
                      <w:color w:val="auto"/>
                      <w:sz w:val="21"/>
                      <w:szCs w:val="21"/>
                      <w:highlight w:val="none"/>
                      <w:lang w:eastAsia="zh-CN"/>
                    </w:rPr>
                    <w:t>排放量</w:t>
                  </w:r>
                </w:p>
              </w:tc>
              <w:tc>
                <w:tcPr>
                  <w:tcW w:w="1312" w:type="dxa"/>
                  <w:vAlign w:val="center"/>
                </w:tcPr>
                <w:p>
                  <w:pPr>
                    <w:spacing w:line="360" w:lineRule="exact"/>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技改</w:t>
                  </w:r>
                  <w:r>
                    <w:rPr>
                      <w:rFonts w:hint="default" w:ascii="Times New Roman" w:hAnsi="Times New Roman" w:cs="Times New Roman"/>
                      <w:color w:val="auto"/>
                      <w:sz w:val="21"/>
                      <w:szCs w:val="21"/>
                      <w:highlight w:val="none"/>
                    </w:rPr>
                    <w:t>项目</w:t>
                  </w:r>
                  <w:r>
                    <w:rPr>
                      <w:rFonts w:hint="eastAsia" w:cs="Times New Roman"/>
                      <w:color w:val="auto"/>
                      <w:sz w:val="21"/>
                      <w:szCs w:val="21"/>
                      <w:highlight w:val="none"/>
                      <w:lang w:eastAsia="zh-CN"/>
                    </w:rPr>
                    <w:t>新增</w:t>
                  </w:r>
                  <w:r>
                    <w:rPr>
                      <w:rFonts w:hint="default" w:ascii="Times New Roman" w:hAnsi="Times New Roman" w:cs="Times New Roman"/>
                      <w:color w:val="auto"/>
                      <w:sz w:val="21"/>
                      <w:szCs w:val="21"/>
                      <w:highlight w:val="none"/>
                    </w:rPr>
                    <w:t>排放量</w:t>
                  </w:r>
                </w:p>
              </w:tc>
              <w:tc>
                <w:tcPr>
                  <w:tcW w:w="1274" w:type="dxa"/>
                  <w:vAlign w:val="center"/>
                </w:tcPr>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“以新带老”</w:t>
                  </w:r>
                </w:p>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削减量</w:t>
                  </w:r>
                </w:p>
              </w:tc>
              <w:tc>
                <w:tcPr>
                  <w:tcW w:w="1426" w:type="dxa"/>
                  <w:vAlign w:val="center"/>
                </w:tcPr>
                <w:p>
                  <w:pPr>
                    <w:spacing w:line="360" w:lineRule="exact"/>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技改</w:t>
                  </w:r>
                  <w:r>
                    <w:rPr>
                      <w:rFonts w:hint="default" w:ascii="Times New Roman" w:hAnsi="Times New Roman" w:cs="Times New Roman"/>
                      <w:color w:val="auto"/>
                      <w:sz w:val="21"/>
                      <w:szCs w:val="21"/>
                      <w:highlight w:val="none"/>
                    </w:rPr>
                    <w:t>项目完成后总排放量</w:t>
                  </w:r>
                </w:p>
              </w:tc>
              <w:tc>
                <w:tcPr>
                  <w:tcW w:w="1240" w:type="dxa"/>
                  <w:vAlign w:val="center"/>
                </w:tcPr>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增减</w:t>
                  </w:r>
                </w:p>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变化量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atLeast"/>
                <w:jc w:val="center"/>
              </w:trPr>
              <w:tc>
                <w:tcPr>
                  <w:tcW w:w="819" w:type="dxa"/>
                  <w:vMerge w:val="restart"/>
                  <w:vAlign w:val="center"/>
                </w:tcPr>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w:t>
                  </w:r>
                </w:p>
              </w:tc>
              <w:tc>
                <w:tcPr>
                  <w:tcW w:w="1213" w:type="dxa"/>
                  <w:vAlign w:val="center"/>
                </w:tcPr>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1250" w:type="dxa"/>
                  <w:vAlign w:val="center"/>
                </w:tcPr>
                <w:p>
                  <w:pPr>
                    <w:spacing w:line="0" w:lineRule="atLeast"/>
                    <w:jc w:val="center"/>
                    <w:rPr>
                      <w:rFonts w:hint="default" w:ascii="Times New Roman" w:hAnsi="Times New Roman" w:cs="Times New Roman" w:eastAsiaTheme="minorEastAsia"/>
                      <w:color w:val="auto"/>
                      <w:sz w:val="21"/>
                      <w:szCs w:val="21"/>
                      <w:highlight w:val="none"/>
                      <w:lang w:val="en-US" w:eastAsia="zh-CN"/>
                    </w:rPr>
                  </w:pPr>
                  <w:r>
                    <w:rPr>
                      <w:rFonts w:hint="eastAsia" w:eastAsia="宋体" w:cs="Times New Roman"/>
                      <w:color w:val="auto"/>
                      <w:sz w:val="21"/>
                      <w:szCs w:val="21"/>
                      <w:highlight w:val="none"/>
                      <w:lang w:val="en-US" w:eastAsia="zh-CN"/>
                    </w:rPr>
                    <w:t>0</w:t>
                  </w:r>
                </w:p>
              </w:tc>
              <w:tc>
                <w:tcPr>
                  <w:tcW w:w="1312"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color w:val="auto"/>
                      <w:highlight w:val="none"/>
                      <w:lang w:val="en-US" w:eastAsia="zh-CN"/>
                    </w:rPr>
                    <w:t>0</w:t>
                  </w:r>
                </w:p>
              </w:tc>
              <w:tc>
                <w:tcPr>
                  <w:tcW w:w="1274"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1426"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color w:val="auto"/>
                      <w:highlight w:val="none"/>
                      <w:lang w:val="en-US" w:eastAsia="zh-CN"/>
                    </w:rPr>
                    <w:t>0</w:t>
                  </w:r>
                </w:p>
              </w:tc>
              <w:tc>
                <w:tcPr>
                  <w:tcW w:w="1240"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color w:val="auto"/>
                      <w:highlight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819" w:type="dxa"/>
                  <w:vMerge w:val="continue"/>
                  <w:vAlign w:val="center"/>
                </w:tcPr>
                <w:p>
                  <w:pPr>
                    <w:spacing w:line="360" w:lineRule="exact"/>
                    <w:jc w:val="center"/>
                    <w:rPr>
                      <w:rFonts w:hint="default" w:ascii="Times New Roman" w:hAnsi="Times New Roman" w:cs="Times New Roman"/>
                      <w:color w:val="auto"/>
                      <w:sz w:val="21"/>
                      <w:szCs w:val="21"/>
                      <w:highlight w:val="none"/>
                    </w:rPr>
                  </w:pPr>
                </w:p>
              </w:tc>
              <w:tc>
                <w:tcPr>
                  <w:tcW w:w="1213" w:type="dxa"/>
                  <w:vAlign w:val="center"/>
                </w:tcPr>
                <w:p>
                  <w:pPr>
                    <w:spacing w:line="360" w:lineRule="exact"/>
                    <w:jc w:val="center"/>
                    <w:rPr>
                      <w:rFonts w:hint="default" w:ascii="Times New Roman" w:hAnsi="Times New Roman" w:cs="Times New Roman"/>
                      <w:color w:val="auto"/>
                      <w:sz w:val="21"/>
                      <w:szCs w:val="21"/>
                      <w:highlight w:val="none"/>
                      <w:vertAlign w:val="subscript"/>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X</w:t>
                  </w:r>
                </w:p>
              </w:tc>
              <w:tc>
                <w:tcPr>
                  <w:tcW w:w="1250" w:type="dxa"/>
                  <w:vAlign w:val="center"/>
                </w:tcPr>
                <w:p>
                  <w:pPr>
                    <w:spacing w:line="0" w:lineRule="atLeast"/>
                    <w:jc w:val="center"/>
                    <w:rPr>
                      <w:rFonts w:hint="default" w:ascii="Times New Roman" w:hAnsi="Times New Roman" w:cs="Times New Roman" w:eastAsiaTheme="minorEastAsia"/>
                      <w:color w:val="auto"/>
                      <w:sz w:val="21"/>
                      <w:szCs w:val="21"/>
                      <w:highlight w:val="none"/>
                      <w:lang w:val="en-US" w:eastAsia="zh-CN"/>
                    </w:rPr>
                  </w:pPr>
                  <w:r>
                    <w:rPr>
                      <w:rFonts w:hint="eastAsia" w:eastAsia="宋体" w:cs="Times New Roman"/>
                      <w:color w:val="auto"/>
                      <w:sz w:val="21"/>
                      <w:szCs w:val="21"/>
                      <w:highlight w:val="none"/>
                      <w:lang w:val="en-US" w:eastAsia="zh-CN"/>
                    </w:rPr>
                    <w:t>0</w:t>
                  </w:r>
                </w:p>
              </w:tc>
              <w:tc>
                <w:tcPr>
                  <w:tcW w:w="1312"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color w:val="auto"/>
                      <w:sz w:val="21"/>
                      <w:szCs w:val="21"/>
                      <w:highlight w:val="none"/>
                      <w:lang w:val="en-US" w:eastAsia="zh-CN"/>
                    </w:rPr>
                    <w:t>0</w:t>
                  </w:r>
                </w:p>
              </w:tc>
              <w:tc>
                <w:tcPr>
                  <w:tcW w:w="1274"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1426"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color w:val="auto"/>
                      <w:sz w:val="21"/>
                      <w:szCs w:val="21"/>
                      <w:highlight w:val="none"/>
                      <w:lang w:val="en-US" w:eastAsia="zh-CN"/>
                    </w:rPr>
                    <w:t>0</w:t>
                  </w:r>
                </w:p>
              </w:tc>
              <w:tc>
                <w:tcPr>
                  <w:tcW w:w="1240"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color w:val="auto"/>
                      <w:sz w:val="21"/>
                      <w:szCs w:val="21"/>
                      <w:highlight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819" w:type="dxa"/>
                  <w:vMerge w:val="continue"/>
                  <w:vAlign w:val="center"/>
                </w:tcPr>
                <w:p>
                  <w:pPr>
                    <w:spacing w:line="360" w:lineRule="exact"/>
                    <w:jc w:val="center"/>
                    <w:rPr>
                      <w:rFonts w:hint="default" w:ascii="Times New Roman" w:hAnsi="Times New Roman" w:cs="Times New Roman"/>
                      <w:color w:val="auto"/>
                      <w:sz w:val="21"/>
                      <w:szCs w:val="21"/>
                      <w:highlight w:val="none"/>
                    </w:rPr>
                  </w:pPr>
                </w:p>
              </w:tc>
              <w:tc>
                <w:tcPr>
                  <w:tcW w:w="1213" w:type="dxa"/>
                  <w:vAlign w:val="center"/>
                </w:tcPr>
                <w:p>
                  <w:pPr>
                    <w:spacing w:line="360" w:lineRule="exact"/>
                    <w:jc w:val="center"/>
                    <w:rPr>
                      <w:rFonts w:hint="default" w:ascii="Times New Roman" w:hAnsi="Times New Roman" w:cs="Times New Roman" w:eastAsiaTheme="minorEastAsia"/>
                      <w:color w:val="auto"/>
                      <w:sz w:val="21"/>
                      <w:szCs w:val="21"/>
                      <w:highlight w:val="none"/>
                      <w:lang w:eastAsia="zh-CN"/>
                    </w:rPr>
                  </w:pPr>
                  <w:r>
                    <w:rPr>
                      <w:rFonts w:hint="default" w:ascii="Times New Roman" w:hAnsi="Times New Roman" w:cs="Times New Roman"/>
                      <w:color w:val="auto"/>
                      <w:sz w:val="21"/>
                      <w:szCs w:val="21"/>
                      <w:highlight w:val="none"/>
                      <w:lang w:eastAsia="zh-CN"/>
                    </w:rPr>
                    <w:t>颗粒物</w:t>
                  </w:r>
                </w:p>
              </w:tc>
              <w:tc>
                <w:tcPr>
                  <w:tcW w:w="1250" w:type="dxa"/>
                  <w:vAlign w:val="center"/>
                </w:tcPr>
                <w:p>
                  <w:pPr>
                    <w:spacing w:line="0" w:lineRule="atLeas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312" w:type="dxa"/>
                  <w:vAlign w:val="center"/>
                </w:tcPr>
                <w:p>
                  <w:pPr>
                    <w:keepNext w:val="0"/>
                    <w:keepLines w:val="0"/>
                    <w:widowControl/>
                    <w:suppressLineNumbers w:val="0"/>
                    <w:spacing w:line="360" w:lineRule="exact"/>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0.01634</w:t>
                  </w:r>
                </w:p>
              </w:tc>
              <w:tc>
                <w:tcPr>
                  <w:tcW w:w="1274" w:type="dxa"/>
                  <w:vAlign w:val="center"/>
                </w:tcPr>
                <w:p>
                  <w:pPr>
                    <w:keepNext w:val="0"/>
                    <w:keepLines w:val="0"/>
                    <w:widowControl/>
                    <w:suppressLineNumbers w:val="0"/>
                    <w:spacing w:line="360" w:lineRule="exact"/>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426"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color w:val="auto"/>
                      <w:sz w:val="21"/>
                      <w:szCs w:val="21"/>
                      <w:highlight w:val="none"/>
                      <w:lang w:val="en-US" w:eastAsia="zh-CN"/>
                    </w:rPr>
                    <w:t>0.01634</w:t>
                  </w:r>
                </w:p>
              </w:tc>
              <w:tc>
                <w:tcPr>
                  <w:tcW w:w="1240" w:type="dxa"/>
                  <w:vAlign w:val="center"/>
                </w:tcPr>
                <w:p>
                  <w:pPr>
                    <w:keepNext w:val="0"/>
                    <w:keepLines w:val="0"/>
                    <w:widowControl/>
                    <w:suppressLineNumbers w:val="0"/>
                    <w:spacing w:line="360" w:lineRule="exact"/>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+0.01634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19" w:type="dxa"/>
                  <w:vMerge w:val="restart"/>
                  <w:vAlign w:val="center"/>
                </w:tcPr>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1213" w:type="dxa"/>
                  <w:vAlign w:val="center"/>
                </w:tcPr>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COD</w:t>
                  </w:r>
                </w:p>
              </w:tc>
              <w:tc>
                <w:tcPr>
                  <w:tcW w:w="1250" w:type="dxa"/>
                  <w:vAlign w:val="center"/>
                </w:tcPr>
                <w:p>
                  <w:pPr>
                    <w:spacing w:line="360" w:lineRule="exact"/>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.006</w:t>
                  </w:r>
                </w:p>
              </w:tc>
              <w:tc>
                <w:tcPr>
                  <w:tcW w:w="1312"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color w:val="auto"/>
                      <w:sz w:val="21"/>
                      <w:szCs w:val="21"/>
                      <w:highlight w:val="none"/>
                      <w:lang w:val="en-US" w:eastAsia="zh-CN"/>
                    </w:rPr>
                    <w:t>0</w:t>
                  </w:r>
                </w:p>
              </w:tc>
              <w:tc>
                <w:tcPr>
                  <w:tcW w:w="1274"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eastAsia="zh-CN"/>
                    </w:rPr>
                  </w:pPr>
                  <w:r>
                    <w:rPr>
                      <w:rFonts w:hint="default" w:ascii="Times New Roman" w:hAnsi="Times New Roman" w:cs="Times New Roman"/>
                      <w:color w:val="auto"/>
                      <w:sz w:val="21"/>
                      <w:szCs w:val="21"/>
                      <w:highlight w:val="none"/>
                      <w:lang w:val="en-US" w:eastAsia="zh-CN"/>
                    </w:rPr>
                    <w:t>0</w:t>
                  </w:r>
                </w:p>
              </w:tc>
              <w:tc>
                <w:tcPr>
                  <w:tcW w:w="1426" w:type="dxa"/>
                  <w:vAlign w:val="center"/>
                </w:tcPr>
                <w:p>
                  <w:pPr>
                    <w:spacing w:line="360" w:lineRule="exact"/>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.006</w:t>
                  </w:r>
                </w:p>
              </w:tc>
              <w:tc>
                <w:tcPr>
                  <w:tcW w:w="1240" w:type="dxa"/>
                  <w:vAlign w:val="center"/>
                </w:tcPr>
                <w:p>
                  <w:pPr>
                    <w:keepNext w:val="0"/>
                    <w:keepLines w:val="0"/>
                    <w:widowControl/>
                    <w:suppressLineNumbers w:val="0"/>
                    <w:spacing w:line="360" w:lineRule="exact"/>
                    <w:jc w:val="center"/>
                    <w:textAlignment w:val="auto"/>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819" w:type="dxa"/>
                  <w:vMerge w:val="continue"/>
                  <w:vAlign w:val="center"/>
                </w:tcPr>
                <w:p>
                  <w:pPr>
                    <w:spacing w:line="360" w:lineRule="exact"/>
                    <w:jc w:val="center"/>
                    <w:rPr>
                      <w:rFonts w:hint="default" w:ascii="Times New Roman" w:hAnsi="Times New Roman" w:cs="Times New Roman"/>
                      <w:color w:val="auto"/>
                      <w:sz w:val="21"/>
                      <w:szCs w:val="21"/>
                      <w:highlight w:val="none"/>
                    </w:rPr>
                  </w:pPr>
                </w:p>
              </w:tc>
              <w:tc>
                <w:tcPr>
                  <w:tcW w:w="1213" w:type="dxa"/>
                  <w:vAlign w:val="center"/>
                </w:tcPr>
                <w:p>
                  <w:pPr>
                    <w:spacing w:line="36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氨氮</w:t>
                  </w:r>
                </w:p>
              </w:tc>
              <w:tc>
                <w:tcPr>
                  <w:tcW w:w="1250" w:type="dxa"/>
                  <w:vAlign w:val="center"/>
                </w:tcPr>
                <w:p>
                  <w:pPr>
                    <w:spacing w:line="360" w:lineRule="exact"/>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.0007</w:t>
                  </w:r>
                </w:p>
              </w:tc>
              <w:tc>
                <w:tcPr>
                  <w:tcW w:w="1312"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color w:val="auto"/>
                      <w:sz w:val="21"/>
                      <w:szCs w:val="21"/>
                      <w:highlight w:val="none"/>
                      <w:lang w:val="en-US" w:eastAsia="zh-CN"/>
                    </w:rPr>
                    <w:t>0</w:t>
                  </w:r>
                </w:p>
              </w:tc>
              <w:tc>
                <w:tcPr>
                  <w:tcW w:w="1274" w:type="dxa"/>
                  <w:vAlign w:val="center"/>
                </w:tcPr>
                <w:p>
                  <w:pPr>
                    <w:keepNext w:val="0"/>
                    <w:keepLines w:val="0"/>
                    <w:widowControl/>
                    <w:suppressLineNumbers w:val="0"/>
                    <w:spacing w:line="360" w:lineRule="exact"/>
                    <w:jc w:val="center"/>
                    <w:textAlignment w:val="auto"/>
                    <w:rPr>
                      <w:rFonts w:hint="default" w:ascii="Times New Roman" w:hAnsi="Times New Roman" w:cs="Times New Roman" w:eastAsiaTheme="minorEastAsia"/>
                      <w:color w:val="auto"/>
                      <w:sz w:val="21"/>
                      <w:szCs w:val="21"/>
                      <w:highlight w:val="none"/>
                      <w:lang w:eastAsia="zh-CN"/>
                    </w:rPr>
                  </w:pPr>
                  <w:r>
                    <w:rPr>
                      <w:rFonts w:hint="default" w:ascii="Times New Roman" w:hAnsi="Times New Roman" w:cs="Times New Roman"/>
                      <w:color w:val="auto"/>
                      <w:sz w:val="21"/>
                      <w:szCs w:val="21"/>
                      <w:highlight w:val="none"/>
                      <w:lang w:val="en-US" w:eastAsia="zh-CN"/>
                    </w:rPr>
                    <w:t>0</w:t>
                  </w:r>
                </w:p>
              </w:tc>
              <w:tc>
                <w:tcPr>
                  <w:tcW w:w="1426" w:type="dxa"/>
                  <w:vAlign w:val="center"/>
                </w:tcPr>
                <w:p>
                  <w:pPr>
                    <w:spacing w:line="360" w:lineRule="exact"/>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.0007</w:t>
                  </w:r>
                </w:p>
              </w:tc>
              <w:tc>
                <w:tcPr>
                  <w:tcW w:w="1240" w:type="dxa"/>
                  <w:vAlign w:val="center"/>
                </w:tcPr>
                <w:p>
                  <w:pPr>
                    <w:keepNext w:val="0"/>
                    <w:keepLines w:val="0"/>
                    <w:widowControl/>
                    <w:suppressLineNumbers w:val="0"/>
                    <w:spacing w:line="360" w:lineRule="exact"/>
                    <w:jc w:val="center"/>
                    <w:textAlignment w:val="auto"/>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819" w:type="dxa"/>
                  <w:vMerge w:val="restart"/>
                  <w:vAlign w:val="center"/>
                </w:tcPr>
                <w:p>
                  <w:pPr>
                    <w:spacing w:line="360" w:lineRule="exact"/>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固体废物</w:t>
                  </w:r>
                </w:p>
              </w:tc>
              <w:tc>
                <w:tcPr>
                  <w:tcW w:w="1213" w:type="dxa"/>
                  <w:vAlign w:val="center"/>
                </w:tcPr>
                <w:p>
                  <w:pPr>
                    <w:spacing w:line="360" w:lineRule="exact"/>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一般固体废物</w:t>
                  </w:r>
                </w:p>
              </w:tc>
              <w:tc>
                <w:tcPr>
                  <w:tcW w:w="1250" w:type="dxa"/>
                  <w:vAlign w:val="center"/>
                </w:tcPr>
                <w:p>
                  <w:pPr>
                    <w:spacing w:line="36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5.5</w:t>
                  </w:r>
                </w:p>
              </w:tc>
              <w:tc>
                <w:tcPr>
                  <w:tcW w:w="1312" w:type="dxa"/>
                  <w:vAlign w:val="center"/>
                </w:tcPr>
                <w:p>
                  <w:pPr>
                    <w:keepNext w:val="0"/>
                    <w:keepLines w:val="0"/>
                    <w:widowControl/>
                    <w:suppressLineNumbers w:val="0"/>
                    <w:spacing w:line="36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2.867</w:t>
                  </w:r>
                </w:p>
              </w:tc>
              <w:tc>
                <w:tcPr>
                  <w:tcW w:w="1274" w:type="dxa"/>
                  <w:vAlign w:val="center"/>
                </w:tcPr>
                <w:p>
                  <w:pPr>
                    <w:keepNext w:val="0"/>
                    <w:keepLines w:val="0"/>
                    <w:widowControl/>
                    <w:suppressLineNumbers w:val="0"/>
                    <w:spacing w:line="360" w:lineRule="exact"/>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426" w:type="dxa"/>
                  <w:vAlign w:val="center"/>
                </w:tcPr>
                <w:p>
                  <w:pPr>
                    <w:spacing w:line="36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8.367</w:t>
                  </w:r>
                </w:p>
              </w:tc>
              <w:tc>
                <w:tcPr>
                  <w:tcW w:w="1240" w:type="dxa"/>
                  <w:vAlign w:val="center"/>
                </w:tcPr>
                <w:p>
                  <w:pPr>
                    <w:keepNext w:val="0"/>
                    <w:keepLines w:val="0"/>
                    <w:widowControl/>
                    <w:suppressLineNumbers w:val="0"/>
                    <w:spacing w:line="36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+2.867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819" w:type="dxa"/>
                  <w:vMerge w:val="continue"/>
                  <w:vAlign w:val="center"/>
                </w:tcPr>
                <w:p>
                  <w:pPr>
                    <w:spacing w:line="360" w:lineRule="exact"/>
                    <w:jc w:val="center"/>
                    <w:rPr>
                      <w:rFonts w:hint="eastAsia" w:cs="Times New Roman"/>
                      <w:color w:val="auto"/>
                      <w:sz w:val="21"/>
                      <w:szCs w:val="21"/>
                      <w:highlight w:val="none"/>
                      <w:lang w:eastAsia="zh-CN"/>
                    </w:rPr>
                  </w:pPr>
                </w:p>
              </w:tc>
              <w:tc>
                <w:tcPr>
                  <w:tcW w:w="1213" w:type="dxa"/>
                  <w:vAlign w:val="center"/>
                </w:tcPr>
                <w:p>
                  <w:pPr>
                    <w:spacing w:line="360" w:lineRule="exact"/>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危险废物</w:t>
                  </w:r>
                </w:p>
              </w:tc>
              <w:tc>
                <w:tcPr>
                  <w:tcW w:w="1250" w:type="dxa"/>
                  <w:vAlign w:val="center"/>
                </w:tcPr>
                <w:p>
                  <w:pPr>
                    <w:spacing w:line="36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2.5</w:t>
                  </w:r>
                </w:p>
              </w:tc>
              <w:tc>
                <w:tcPr>
                  <w:tcW w:w="1312" w:type="dxa"/>
                  <w:vAlign w:val="center"/>
                </w:tcPr>
                <w:p>
                  <w:pPr>
                    <w:keepNext w:val="0"/>
                    <w:keepLines w:val="0"/>
                    <w:widowControl/>
                    <w:suppressLineNumbers w:val="0"/>
                    <w:spacing w:line="36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2.56</w:t>
                  </w:r>
                </w:p>
              </w:tc>
              <w:tc>
                <w:tcPr>
                  <w:tcW w:w="1274" w:type="dxa"/>
                  <w:vAlign w:val="center"/>
                </w:tcPr>
                <w:p>
                  <w:pPr>
                    <w:keepNext w:val="0"/>
                    <w:keepLines w:val="0"/>
                    <w:widowControl/>
                    <w:suppressLineNumbers w:val="0"/>
                    <w:spacing w:line="360" w:lineRule="exact"/>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426" w:type="dxa"/>
                  <w:vAlign w:val="center"/>
                </w:tcPr>
                <w:p>
                  <w:pPr>
                    <w:spacing w:line="36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5.06</w:t>
                  </w:r>
                </w:p>
              </w:tc>
              <w:tc>
                <w:tcPr>
                  <w:tcW w:w="1240" w:type="dxa"/>
                  <w:vAlign w:val="center"/>
                </w:tcPr>
                <w:p>
                  <w:pPr>
                    <w:keepNext w:val="0"/>
                    <w:keepLines w:val="0"/>
                    <w:widowControl/>
                    <w:suppressLineNumbers w:val="0"/>
                    <w:spacing w:line="36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+2.56</w:t>
                  </w:r>
                </w:p>
              </w:tc>
            </w:tr>
          </w:tbl>
          <w:p>
            <w:pPr>
              <w:spacing w:line="440" w:lineRule="exact"/>
              <w:ind w:firstLine="482" w:firstLineChars="200"/>
              <w:jc w:val="center"/>
              <w:rPr>
                <w:rFonts w:hint="default" w:ascii="Times New Roman" w:hAnsi="Times New Roman" w:eastAsia="宋体" w:cs="Times New Roman"/>
                <w:b/>
                <w:bCs/>
                <w:color w:val="auto"/>
                <w:sz w:val="24"/>
                <w:highlight w:val="none"/>
              </w:rPr>
            </w:pPr>
          </w:p>
          <w:p>
            <w:pPr>
              <w:pStyle w:val="49"/>
              <w:spacing w:line="360" w:lineRule="auto"/>
              <w:rPr>
                <w:rFonts w:ascii="Times New Roman"/>
                <w:color w:val="auto"/>
                <w:highlight w:val="none"/>
              </w:rPr>
            </w:pPr>
          </w:p>
        </w:tc>
      </w:tr>
    </w:tbl>
    <w:p>
      <w:pPr>
        <w:spacing w:line="0" w:lineRule="atLeast"/>
        <w:outlineLvl w:val="0"/>
        <w:rPr>
          <w:b/>
          <w:color w:val="auto"/>
          <w:kern w:val="24"/>
          <w:sz w:val="32"/>
          <w:szCs w:val="20"/>
          <w:highlight w:val="none"/>
        </w:rPr>
      </w:pPr>
      <w:r>
        <w:rPr>
          <w:color w:val="auto"/>
          <w:kern w:val="24"/>
          <w:sz w:val="28"/>
          <w:szCs w:val="20"/>
          <w:highlight w:val="none"/>
        </w:rPr>
        <w:br w:type="page"/>
      </w:r>
      <w:r>
        <w:rPr>
          <w:b/>
          <w:bCs/>
          <w:color w:val="auto"/>
          <w:sz w:val="32"/>
          <w:highlight w:val="none"/>
        </w:rPr>
        <w:t>建设项目工程分析</w:t>
      </w:r>
    </w:p>
    <w:tbl>
      <w:tblPr>
        <w:tblStyle w:val="31"/>
        <w:tblW w:w="930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30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524" w:hRule="atLeast"/>
          <w:jc w:val="center"/>
        </w:trPr>
        <w:tc>
          <w:tcPr>
            <w:tcW w:w="9304" w:type="dxa"/>
          </w:tcPr>
          <w:p>
            <w:pPr>
              <w:spacing w:line="620" w:lineRule="exact"/>
              <w:rPr>
                <w:bCs/>
                <w:color w:val="auto"/>
                <w:sz w:val="28"/>
                <w:highlight w:val="none"/>
              </w:rPr>
            </w:pPr>
            <w:r>
              <w:rPr>
                <w:bCs/>
                <w:color w:val="auto"/>
                <w:sz w:val="28"/>
                <w:highlight w:val="none"/>
              </w:rPr>
              <w:t>工程分析</w:t>
            </w:r>
          </w:p>
          <w:p>
            <w:pPr>
              <w:tabs>
                <w:tab w:val="left" w:pos="4500"/>
              </w:tabs>
              <w:spacing w:line="360" w:lineRule="auto"/>
              <w:ind w:firstLine="480" w:firstLineChars="200"/>
              <w:rPr>
                <w:rFonts w:hint="eastAsia"/>
                <w:b/>
                <w:bCs/>
                <w:color w:val="auto"/>
                <w:highlight w:val="none"/>
              </w:rPr>
            </w:pPr>
            <w:r>
              <w:rPr>
                <w:rFonts w:hint="eastAsia" w:ascii="Times New Roman" w:hAnsi="Times New Roman"/>
                <w:color w:val="auto"/>
                <w:sz w:val="24"/>
                <w:highlight w:val="none"/>
              </w:rPr>
              <w:t>本</w:t>
            </w:r>
            <w:r>
              <w:rPr>
                <w:rFonts w:ascii="Times New Roman" w:hAnsi="Times New Roman"/>
                <w:color w:val="auto"/>
                <w:sz w:val="24"/>
                <w:highlight w:val="none"/>
              </w:rPr>
              <w:t>项目</w:t>
            </w:r>
            <w:r>
              <w:rPr>
                <w:rFonts w:hint="eastAsia"/>
                <w:color w:val="auto"/>
                <w:sz w:val="24"/>
                <w:highlight w:val="none"/>
                <w:lang w:eastAsia="zh-CN"/>
              </w:rPr>
              <w:t>为技改项目，主要增加车床、数控加工中心、铣床、钻床、抛光机、数控火焰切割机、电阻炉等设备；技改项目达到了节约成本，提高产品品质，提高市场竞争力的目的。技改项目实施后，产能保持不变。本次环评工艺流程包括现有工程工艺流程，排污分别分析。</w:t>
            </w:r>
          </w:p>
          <w:p>
            <w:pPr>
              <w:pStyle w:val="27"/>
              <w:keepNext w:val="0"/>
              <w:keepLines w:val="0"/>
              <w:pageBreakBefore w:val="0"/>
              <w:widowControl/>
              <w:numPr>
                <w:ilvl w:val="0"/>
                <w:numId w:val="0"/>
              </w:numPr>
              <w:suppressLineNumbers w:val="0"/>
              <w:kinsoku/>
              <w:wordWrap/>
              <w:overflowPunct/>
              <w:topLinePunct w:val="0"/>
              <w:bidi w:val="0"/>
              <w:snapToGrid/>
              <w:spacing w:before="0" w:beforeAutospacing="0" w:after="0" w:afterAutospacing="0" w:line="360" w:lineRule="auto"/>
              <w:ind w:leftChars="200" w:right="0" w:right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一、</w:t>
            </w:r>
            <w:r>
              <w:rPr>
                <w:rFonts w:ascii="Times New Roman" w:hAnsi="Times New Roman"/>
                <w:color w:val="auto"/>
                <w:highlight w:val="none"/>
              </w:rPr>
              <w:t>风机叶片和</w:t>
            </w:r>
            <w:r>
              <w:rPr>
                <w:rFonts w:hint="eastAsia" w:ascii="Times New Roman" w:hAnsi="Times New Roman"/>
                <w:color w:val="auto"/>
                <w:highlight w:val="none"/>
                <w:lang w:eastAsia="zh-CN"/>
              </w:rPr>
              <w:t>备件的加工</w:t>
            </w:r>
          </w:p>
          <w:p>
            <w:pPr>
              <w:tabs>
                <w:tab w:val="left" w:pos="3945"/>
              </w:tabs>
              <w:spacing w:line="440" w:lineRule="exact"/>
              <w:ind w:firstLine="480" w:firstLineChars="200"/>
              <w:rPr>
                <w:rFonts w:hint="eastAsia"/>
                <w:color w:val="auto"/>
                <w:sz w:val="24"/>
                <w:highlight w:val="none"/>
              </w:rPr>
            </w:pPr>
            <w:r>
              <w:rPr>
                <w:rFonts w:hint="eastAsia" w:hAnsi="宋体"/>
                <w:color w:val="auto"/>
                <w:sz w:val="24"/>
                <w:highlight w:val="none"/>
              </w:rPr>
              <w:t>原料主要为特种钢</w:t>
            </w:r>
            <w:r>
              <w:rPr>
                <w:rFonts w:hint="eastAsia" w:hAnsi="宋体"/>
                <w:color w:val="auto"/>
                <w:sz w:val="24"/>
                <w:highlight w:val="none"/>
                <w:lang w:eastAsia="zh-CN"/>
              </w:rPr>
              <w:t>、</w:t>
            </w:r>
            <w:r>
              <w:rPr>
                <w:rFonts w:hint="eastAsia" w:hAnsi="宋体"/>
                <w:color w:val="auto"/>
                <w:sz w:val="24"/>
                <w:highlight w:val="none"/>
              </w:rPr>
              <w:t>普通钢板</w:t>
            </w:r>
            <w:r>
              <w:rPr>
                <w:rFonts w:hint="eastAsia" w:hAnsi="宋体"/>
                <w:color w:val="auto"/>
                <w:sz w:val="24"/>
                <w:highlight w:val="none"/>
                <w:lang w:eastAsia="zh-CN"/>
              </w:rPr>
              <w:t>、</w:t>
            </w:r>
            <w:r>
              <w:rPr>
                <w:rFonts w:hint="eastAsia" w:hAnsi="宋体"/>
                <w:color w:val="auto"/>
                <w:sz w:val="24"/>
                <w:highlight w:val="none"/>
              </w:rPr>
              <w:t>圆钢，由货车运至</w:t>
            </w:r>
            <w:r>
              <w:rPr>
                <w:rFonts w:hint="eastAsia" w:hAnsi="宋体"/>
                <w:color w:val="auto"/>
                <w:sz w:val="24"/>
                <w:highlight w:val="none"/>
                <w:lang w:eastAsia="zh-CN"/>
              </w:rPr>
              <w:t>生产车间</w:t>
            </w:r>
            <w:r>
              <w:rPr>
                <w:rFonts w:hint="eastAsia" w:hAnsi="宋体"/>
                <w:color w:val="auto"/>
                <w:sz w:val="24"/>
                <w:highlight w:val="none"/>
              </w:rPr>
              <w:t>原料</w:t>
            </w:r>
            <w:r>
              <w:rPr>
                <w:rFonts w:hint="eastAsia" w:hAnsi="宋体"/>
                <w:color w:val="auto"/>
                <w:sz w:val="24"/>
                <w:highlight w:val="none"/>
                <w:lang w:eastAsia="zh-CN"/>
              </w:rPr>
              <w:t>区</w:t>
            </w:r>
            <w:r>
              <w:rPr>
                <w:rFonts w:hint="eastAsia" w:hAnsi="宋体"/>
                <w:color w:val="auto"/>
                <w:sz w:val="24"/>
                <w:highlight w:val="none"/>
              </w:rPr>
              <w:t>存放。</w:t>
            </w:r>
          </w:p>
          <w:p>
            <w:pPr>
              <w:pStyle w:val="2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textAlignment w:val="auto"/>
              <w:rPr>
                <w:rFonts w:hint="eastAsia" w:ascii="Times New Roman" w:hAnsi="Times New Roman"/>
                <w:color w:val="auto"/>
                <w:highlight w:val="none"/>
              </w:rPr>
            </w:pPr>
            <w:r>
              <w:rPr>
                <w:rFonts w:hint="eastAsia" w:ascii="Times New Roman" w:hAnsi="Times New Roman"/>
                <w:color w:val="auto"/>
                <w:highlight w:val="none"/>
              </w:rPr>
              <w:t>（1）原料下料</w:t>
            </w:r>
          </w:p>
          <w:p>
            <w:pPr>
              <w:pStyle w:val="2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textAlignment w:val="auto"/>
              <w:rPr>
                <w:rFonts w:hint="eastAsia" w:ascii="Times New Roman" w:hAnsi="Times New Roman"/>
                <w:color w:val="auto"/>
                <w:highlight w:val="none"/>
              </w:rPr>
            </w:pPr>
            <w:r>
              <w:rPr>
                <w:rFonts w:ascii="Times New Roman" w:hAnsi="Times New Roman"/>
                <w:color w:val="auto"/>
                <w:highlight w:val="none"/>
              </w:rPr>
              <w:t>根据生产计划，人工运至加工区，根据</w:t>
            </w:r>
            <w:r>
              <w:rPr>
                <w:rFonts w:hint="eastAsia" w:ascii="Times New Roman" w:hAnsi="Times New Roman"/>
                <w:color w:val="auto"/>
                <w:highlight w:val="none"/>
              </w:rPr>
              <w:t>所需</w:t>
            </w:r>
            <w:r>
              <w:rPr>
                <w:rFonts w:ascii="Times New Roman" w:hAnsi="Times New Roman"/>
                <w:color w:val="auto"/>
                <w:highlight w:val="none"/>
              </w:rPr>
              <w:t>产品尺寸经</w:t>
            </w:r>
            <w:r>
              <w:rPr>
                <w:rFonts w:hint="eastAsia" w:ascii="Times New Roman" w:hAnsi="Times New Roman"/>
                <w:color w:val="auto"/>
                <w:highlight w:val="none"/>
                <w:lang w:eastAsia="zh-CN"/>
              </w:rPr>
              <w:t>线</w:t>
            </w:r>
            <w:r>
              <w:rPr>
                <w:rFonts w:hint="eastAsia" w:ascii="Times New Roman" w:hAnsi="Times New Roman"/>
                <w:color w:val="auto"/>
                <w:highlight w:val="none"/>
              </w:rPr>
              <w:t>切割机</w:t>
            </w:r>
            <w:r>
              <w:rPr>
                <w:rFonts w:hint="eastAsia" w:ascii="Times New Roman" w:hAnsi="Times New Roman"/>
                <w:color w:val="auto"/>
                <w:highlight w:val="none"/>
                <w:lang w:eastAsia="zh-CN"/>
              </w:rPr>
              <w:t>（现有工程设备）、</w:t>
            </w:r>
            <w:r>
              <w:rPr>
                <w:rFonts w:hint="eastAsia" w:ascii="Times New Roman" w:hAnsi="Times New Roman"/>
                <w:color w:val="auto"/>
                <w:highlight w:val="none"/>
                <w:lang w:val="en-US" w:eastAsia="zh-CN"/>
              </w:rPr>
              <w:t>数控火焰切割机或锯床</w:t>
            </w:r>
            <w:r>
              <w:rPr>
                <w:rFonts w:hint="eastAsia" w:ascii="Times New Roman" w:hAnsi="Times New Roman"/>
                <w:color w:val="auto"/>
                <w:highlight w:val="none"/>
              </w:rPr>
              <w:t>下料</w:t>
            </w:r>
            <w:r>
              <w:rPr>
                <w:rFonts w:ascii="Times New Roman" w:hAnsi="Times New Roman"/>
                <w:color w:val="auto"/>
                <w:highlight w:val="none"/>
              </w:rPr>
              <w:t>，得到适宜加工的尺寸</w:t>
            </w:r>
            <w:r>
              <w:rPr>
                <w:rFonts w:hint="eastAsia" w:ascii="Times New Roman" w:hAnsi="Times New Roman"/>
                <w:color w:val="auto"/>
                <w:highlight w:val="none"/>
              </w:rPr>
              <w:t>。</w:t>
            </w:r>
          </w:p>
          <w:p>
            <w:pPr>
              <w:pStyle w:val="2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textAlignment w:val="auto"/>
              <w:rPr>
                <w:rFonts w:hint="eastAsia" w:ascii="Times New Roman" w:hAnsi="Times New Roman"/>
                <w:color w:val="auto"/>
                <w:highlight w:val="none"/>
              </w:rPr>
            </w:pPr>
            <w:r>
              <w:rPr>
                <w:rFonts w:hint="eastAsia" w:ascii="Times New Roman" w:hAnsi="Times New Roman"/>
                <w:color w:val="auto"/>
                <w:highlight w:val="none"/>
                <w:lang w:eastAsia="zh-CN"/>
              </w:rPr>
              <w:t>锯床运行过程中使用切削液降温，金属屑</w:t>
            </w:r>
            <w:r>
              <w:rPr>
                <w:rFonts w:hint="eastAsia" w:ascii="Times New Roman" w:hAnsi="Times New Roman"/>
                <w:color w:val="auto"/>
                <w:highlight w:val="none"/>
              </w:rPr>
              <w:t>随切削液进入切削液箱中，切削液箱中设置过滤网，将切削液箱分为左右两格，含</w:t>
            </w:r>
            <w:r>
              <w:rPr>
                <w:rFonts w:hint="eastAsia" w:ascii="Times New Roman" w:hAnsi="Times New Roman"/>
                <w:color w:val="auto"/>
                <w:highlight w:val="none"/>
                <w:lang w:eastAsia="zh-CN"/>
              </w:rPr>
              <w:t>金属屑</w:t>
            </w:r>
            <w:r>
              <w:rPr>
                <w:rFonts w:hint="eastAsia" w:ascii="Times New Roman" w:hAnsi="Times New Roman"/>
                <w:color w:val="auto"/>
                <w:highlight w:val="none"/>
              </w:rPr>
              <w:t>的切削液进入左侧格子，经过过滤网后</w:t>
            </w:r>
            <w:r>
              <w:rPr>
                <w:rFonts w:hint="eastAsia" w:ascii="Times New Roman" w:hAnsi="Times New Roman"/>
                <w:color w:val="auto"/>
                <w:highlight w:val="none"/>
                <w:lang w:eastAsia="zh-CN"/>
              </w:rPr>
              <w:t>锯床</w:t>
            </w:r>
            <w:r>
              <w:rPr>
                <w:rFonts w:hint="eastAsia" w:ascii="Times New Roman" w:hAnsi="Times New Roman"/>
                <w:color w:val="auto"/>
                <w:highlight w:val="none"/>
              </w:rPr>
              <w:t>被拦截在左侧格子中自然沉降，过滤后的切削液进入右侧格子循环使用；定期将切削液箱中切削液抽干暂存于塑料桶中，然后将左格子中的沉淀物进行清理，清理的</w:t>
            </w:r>
            <w:r>
              <w:rPr>
                <w:rFonts w:hint="eastAsia" w:ascii="Times New Roman" w:hAnsi="Times New Roman"/>
                <w:color w:val="auto"/>
                <w:highlight w:val="none"/>
                <w:lang w:eastAsia="zh-CN"/>
              </w:rPr>
              <w:t>金属屑经离心机分离后，金属屑作为一般固废，分离出的废切削液作为危险废物委托有资质单位处理</w:t>
            </w:r>
            <w:r>
              <w:rPr>
                <w:rFonts w:hint="eastAsia" w:ascii="Times New Roman" w:hAnsi="Times New Roman"/>
                <w:color w:val="auto"/>
                <w:highlight w:val="none"/>
              </w:rPr>
              <w:t>；抽出的切削液循环使用，不能循环使用的作为</w:t>
            </w:r>
            <w:r>
              <w:rPr>
                <w:rFonts w:hint="eastAsia" w:ascii="Times New Roman" w:hAnsi="Times New Roman"/>
                <w:color w:val="auto"/>
                <w:highlight w:val="none"/>
                <w:lang w:eastAsia="zh-CN"/>
              </w:rPr>
              <w:t>危险废物委托有资质单位处理。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黑体" w:eastAsia="黑体" w:cs="黑体"/>
                <w:color w:val="auto"/>
                <w:sz w:val="24"/>
                <w:highlight w:val="none"/>
              </w:rPr>
            </w:pPr>
            <w:r>
              <w:rPr>
                <w:rFonts w:hint="eastAsia" w:hAnsi="黑体" w:eastAsia="黑体" w:cs="黑体"/>
                <w:color w:val="auto"/>
                <w:sz w:val="24"/>
                <w:highlight w:val="none"/>
                <w:lang w:eastAsia="zh-CN"/>
              </w:rPr>
              <w:t>技改项目</w:t>
            </w:r>
            <w:r>
              <w:rPr>
                <w:rFonts w:hint="eastAsia" w:hAnsi="黑体" w:eastAsia="黑体" w:cs="黑体"/>
                <w:color w:val="auto"/>
                <w:sz w:val="24"/>
                <w:highlight w:val="none"/>
              </w:rPr>
              <w:t>产污节点</w:t>
            </w:r>
            <w:r>
              <w:rPr>
                <w:rFonts w:hint="eastAsia" w:hAnsi="黑体" w:eastAsia="黑体" w:cs="黑体"/>
                <w:color w:val="auto"/>
                <w:sz w:val="24"/>
                <w:highlight w:val="none"/>
                <w:lang w:eastAsia="zh-CN"/>
              </w:rPr>
              <w:t>：</w:t>
            </w:r>
            <w:r>
              <w:rPr>
                <w:rFonts w:hint="eastAsia" w:hAnsi="黑体" w:eastAsia="黑体" w:cs="黑体"/>
                <w:color w:val="auto"/>
                <w:sz w:val="24"/>
                <w:highlight w:val="none"/>
                <w:lang w:val="en-US" w:eastAsia="zh-CN"/>
              </w:rPr>
              <w:t>数控火焰切割机</w:t>
            </w:r>
            <w:r>
              <w:rPr>
                <w:rFonts w:hint="eastAsia" w:hAnsi="黑体" w:eastAsia="黑体" w:cs="黑体"/>
                <w:color w:val="auto"/>
                <w:sz w:val="24"/>
                <w:highlight w:val="none"/>
                <w:lang w:eastAsia="zh-CN"/>
              </w:rPr>
              <w:t>下</w:t>
            </w:r>
            <w:r>
              <w:rPr>
                <w:rFonts w:hint="eastAsia" w:hAnsi="黑体" w:eastAsia="黑体" w:cs="黑体"/>
                <w:color w:val="auto"/>
                <w:sz w:val="24"/>
                <w:highlight w:val="none"/>
              </w:rPr>
              <w:t>料产生的粉尘（</w:t>
            </w:r>
            <w:r>
              <w:rPr>
                <w:rFonts w:hint="eastAsia" w:eastAsia="黑体" w:cs="黑体"/>
                <w:color w:val="auto"/>
                <w:sz w:val="24"/>
                <w:highlight w:val="none"/>
              </w:rPr>
              <w:t>G1</w:t>
            </w:r>
            <w:r>
              <w:rPr>
                <w:rFonts w:hint="eastAsia" w:hAnsi="黑体" w:eastAsia="黑体" w:cs="黑体"/>
                <w:color w:val="auto"/>
                <w:sz w:val="24"/>
                <w:highlight w:val="none"/>
              </w:rPr>
              <w:t>）、下料产生的下脚料（</w:t>
            </w:r>
            <w:r>
              <w:rPr>
                <w:rFonts w:hint="eastAsia" w:eastAsia="黑体" w:cs="黑体"/>
                <w:color w:val="auto"/>
                <w:sz w:val="24"/>
                <w:highlight w:val="none"/>
              </w:rPr>
              <w:t>S1</w:t>
            </w:r>
            <w:r>
              <w:rPr>
                <w:rFonts w:hint="eastAsia" w:hAnsi="黑体" w:eastAsia="黑体" w:cs="黑体"/>
                <w:color w:val="auto"/>
                <w:sz w:val="24"/>
                <w:highlight w:val="none"/>
              </w:rPr>
              <w:t>）、噪声（</w:t>
            </w:r>
            <w:r>
              <w:rPr>
                <w:rFonts w:hint="eastAsia" w:eastAsia="黑体" w:cs="黑体"/>
                <w:color w:val="auto"/>
                <w:sz w:val="24"/>
                <w:highlight w:val="none"/>
              </w:rPr>
              <w:t>N1</w:t>
            </w:r>
            <w:r>
              <w:rPr>
                <w:rFonts w:hint="eastAsia" w:hAnsi="黑体" w:eastAsia="黑体" w:cs="黑体"/>
                <w:color w:val="auto"/>
                <w:sz w:val="24"/>
                <w:highlight w:val="none"/>
              </w:rPr>
              <w:t>）</w:t>
            </w:r>
            <w:r>
              <w:rPr>
                <w:rFonts w:hint="eastAsia" w:hAnsi="黑体" w:eastAsia="黑体" w:cs="黑体"/>
                <w:color w:val="auto"/>
                <w:sz w:val="24"/>
                <w:highlight w:val="none"/>
                <w:lang w:eastAsia="zh-CN"/>
              </w:rPr>
              <w:t>、设备维修产生的废润滑油（</w:t>
            </w:r>
            <w:r>
              <w:rPr>
                <w:rFonts w:hint="eastAsia" w:hAnsi="黑体" w:eastAsia="黑体" w:cs="黑体"/>
                <w:color w:val="auto"/>
                <w:sz w:val="24"/>
                <w:highlight w:val="none"/>
                <w:lang w:val="en-US" w:eastAsia="zh-CN"/>
              </w:rPr>
              <w:t>S4</w:t>
            </w:r>
            <w:r>
              <w:rPr>
                <w:rFonts w:hint="eastAsia" w:hAnsi="黑体" w:eastAsia="黑体" w:cs="黑体"/>
                <w:color w:val="auto"/>
                <w:sz w:val="24"/>
                <w:highlight w:val="none"/>
                <w:lang w:eastAsia="zh-CN"/>
              </w:rPr>
              <w:t>），锯床噪声（</w:t>
            </w:r>
            <w:r>
              <w:rPr>
                <w:rFonts w:hint="eastAsia" w:hAnsi="黑体" w:eastAsia="黑体" w:cs="黑体"/>
                <w:color w:val="auto"/>
                <w:sz w:val="24"/>
                <w:highlight w:val="none"/>
                <w:lang w:val="en-US" w:eastAsia="zh-CN"/>
              </w:rPr>
              <w:t>N2</w:t>
            </w:r>
            <w:r>
              <w:rPr>
                <w:rFonts w:hint="eastAsia" w:hAnsi="黑体" w:eastAsia="黑体" w:cs="黑体"/>
                <w:color w:val="auto"/>
                <w:sz w:val="24"/>
                <w:highlight w:val="none"/>
                <w:lang w:eastAsia="zh-CN"/>
              </w:rPr>
              <w:t>）、</w:t>
            </w:r>
            <w:r>
              <w:rPr>
                <w:rFonts w:hint="eastAsia" w:hAnsi="黑体" w:eastAsia="黑体" w:cs="黑体"/>
                <w:color w:val="auto"/>
                <w:sz w:val="24"/>
                <w:highlight w:val="none"/>
              </w:rPr>
              <w:t>下料产生的下脚料（</w:t>
            </w:r>
            <w:r>
              <w:rPr>
                <w:rFonts w:hint="eastAsia" w:eastAsia="黑体" w:cs="黑体"/>
                <w:color w:val="auto"/>
                <w:sz w:val="24"/>
                <w:highlight w:val="none"/>
              </w:rPr>
              <w:t>S1</w:t>
            </w:r>
            <w:r>
              <w:rPr>
                <w:rFonts w:hint="eastAsia" w:hAnsi="黑体" w:eastAsia="黑体" w:cs="黑体"/>
                <w:color w:val="auto"/>
                <w:sz w:val="24"/>
                <w:highlight w:val="none"/>
              </w:rPr>
              <w:t>）</w:t>
            </w:r>
            <w:r>
              <w:rPr>
                <w:rFonts w:hint="eastAsia" w:hAnsi="黑体" w:eastAsia="黑体" w:cs="黑体"/>
                <w:color w:val="auto"/>
                <w:sz w:val="24"/>
                <w:highlight w:val="none"/>
                <w:lang w:eastAsia="zh-CN"/>
              </w:rPr>
              <w:t>、废切削液（</w:t>
            </w:r>
            <w:r>
              <w:rPr>
                <w:rFonts w:hint="eastAsia" w:hAnsi="黑体" w:eastAsia="黑体" w:cs="黑体"/>
                <w:color w:val="auto"/>
                <w:sz w:val="24"/>
                <w:highlight w:val="none"/>
                <w:lang w:val="en-US" w:eastAsia="zh-CN"/>
              </w:rPr>
              <w:t>S3</w:t>
            </w:r>
            <w:r>
              <w:rPr>
                <w:rFonts w:hint="eastAsia" w:hAnsi="黑体" w:eastAsia="黑体" w:cs="黑体"/>
                <w:color w:val="auto"/>
                <w:sz w:val="24"/>
                <w:highlight w:val="none"/>
                <w:lang w:eastAsia="zh-CN"/>
              </w:rPr>
              <w:t>）、设备维修产生的废润滑油（</w:t>
            </w:r>
            <w:r>
              <w:rPr>
                <w:rFonts w:hint="eastAsia" w:hAnsi="黑体" w:eastAsia="黑体" w:cs="黑体"/>
                <w:color w:val="auto"/>
                <w:sz w:val="24"/>
                <w:highlight w:val="none"/>
                <w:lang w:val="en-US" w:eastAsia="zh-CN"/>
              </w:rPr>
              <w:t>S4</w:t>
            </w:r>
            <w:r>
              <w:rPr>
                <w:rFonts w:hint="eastAsia" w:hAnsi="黑体" w:eastAsia="黑体" w:cs="黑体"/>
                <w:color w:val="auto"/>
                <w:sz w:val="24"/>
                <w:highlight w:val="none"/>
                <w:lang w:eastAsia="zh-CN"/>
              </w:rPr>
              <w:t>）</w:t>
            </w:r>
            <w:r>
              <w:rPr>
                <w:rFonts w:hint="eastAsia" w:hAnsi="黑体" w:eastAsia="黑体" w:cs="黑体"/>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黑体" w:cs="黑体"/>
                <w:color w:val="auto"/>
                <w:sz w:val="24"/>
                <w:highlight w:val="none"/>
              </w:rPr>
            </w:pPr>
            <w:r>
              <w:rPr>
                <w:rFonts w:hint="eastAsia" w:hAnsi="黑体" w:eastAsia="黑体" w:cs="黑体"/>
                <w:color w:val="auto"/>
                <w:sz w:val="24"/>
                <w:highlight w:val="none"/>
                <w:lang w:eastAsia="zh-CN"/>
              </w:rPr>
              <w:t>现有工程产污节点：线切割机下料产生的下脚料、噪声、废切削液。</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hAnsi="宋体"/>
                <w:color w:val="auto"/>
                <w:sz w:val="24"/>
                <w:highlight w:val="none"/>
                <w:lang w:eastAsia="zh-CN"/>
              </w:rPr>
              <w:t>（</w:t>
            </w:r>
            <w:r>
              <w:rPr>
                <w:rFonts w:hint="eastAsia" w:hAnsi="宋体"/>
                <w:color w:val="auto"/>
                <w:sz w:val="24"/>
                <w:highlight w:val="none"/>
                <w:lang w:val="en-US" w:eastAsia="zh-CN"/>
              </w:rPr>
              <w:t>2</w:t>
            </w:r>
            <w:r>
              <w:rPr>
                <w:rFonts w:hint="eastAsia" w:hAnsi="宋体"/>
                <w:color w:val="auto"/>
                <w:sz w:val="24"/>
                <w:highlight w:val="none"/>
                <w:lang w:eastAsia="zh-CN"/>
              </w:rPr>
              <w:t>）卷板</w:t>
            </w:r>
            <w:r>
              <w:rPr>
                <w:rFonts w:hint="eastAsia" w:hAnsi="宋体"/>
                <w:color w:val="auto"/>
                <w:sz w:val="24"/>
                <w:highlight w:val="none"/>
              </w:rPr>
              <w:t>机加工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hAnsi="宋体"/>
                <w:color w:val="auto"/>
                <w:sz w:val="24"/>
                <w:highlight w:val="none"/>
              </w:rPr>
              <w:t>将下料后得到的合适尺寸的板材，按照工艺要求进行</w:t>
            </w:r>
            <w:r>
              <w:rPr>
                <w:rFonts w:hint="eastAsia" w:hAnsi="宋体"/>
                <w:color w:val="auto"/>
                <w:sz w:val="24"/>
                <w:highlight w:val="none"/>
                <w:lang w:eastAsia="zh-CN"/>
              </w:rPr>
              <w:t>折卷</w:t>
            </w:r>
            <w:r>
              <w:rPr>
                <w:rFonts w:hint="eastAsia" w:hAnsi="宋体"/>
                <w:color w:val="auto"/>
                <w:sz w:val="24"/>
                <w:highlight w:val="none"/>
              </w:rPr>
              <w:t>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黑体"/>
                <w:color w:val="auto"/>
                <w:sz w:val="24"/>
                <w:highlight w:val="none"/>
              </w:rPr>
            </w:pPr>
            <w:r>
              <w:rPr>
                <w:rFonts w:hint="eastAsia" w:hAnsi="黑体" w:eastAsia="黑体" w:cs="黑体"/>
                <w:color w:val="auto"/>
                <w:sz w:val="24"/>
                <w:highlight w:val="none"/>
                <w:lang w:eastAsia="zh-CN"/>
              </w:rPr>
              <w:t>技改项目</w:t>
            </w:r>
            <w:r>
              <w:rPr>
                <w:rFonts w:hint="eastAsia" w:hAnsi="黑体" w:eastAsia="黑体" w:cs="黑体"/>
                <w:color w:val="auto"/>
                <w:sz w:val="24"/>
                <w:highlight w:val="none"/>
              </w:rPr>
              <w:t>产污节点：</w:t>
            </w:r>
            <w:r>
              <w:rPr>
                <w:rFonts w:hint="eastAsia" w:hAnsi="黑体" w:eastAsia="黑体" w:cs="黑体"/>
                <w:color w:val="auto"/>
                <w:sz w:val="24"/>
                <w:highlight w:val="none"/>
                <w:lang w:eastAsia="zh-CN"/>
              </w:rPr>
              <w:t>卷板机</w:t>
            </w:r>
            <w:r>
              <w:rPr>
                <w:rFonts w:hint="eastAsia" w:hAnsi="黑体" w:eastAsia="黑体" w:cs="黑体"/>
                <w:color w:val="auto"/>
                <w:sz w:val="24"/>
                <w:highlight w:val="none"/>
              </w:rPr>
              <w:t>噪声（</w:t>
            </w:r>
            <w:r>
              <w:rPr>
                <w:rFonts w:hint="eastAsia" w:eastAsia="黑体" w:cs="黑体"/>
                <w:color w:val="auto"/>
                <w:sz w:val="24"/>
                <w:highlight w:val="none"/>
              </w:rPr>
              <w:t>N</w:t>
            </w:r>
            <w:r>
              <w:rPr>
                <w:rFonts w:hint="eastAsia" w:eastAsia="黑体" w:cs="黑体"/>
                <w:color w:val="auto"/>
                <w:sz w:val="24"/>
                <w:highlight w:val="none"/>
                <w:lang w:val="en-US" w:eastAsia="zh-CN"/>
              </w:rPr>
              <w:t>3</w:t>
            </w:r>
            <w:r>
              <w:rPr>
                <w:rFonts w:hint="eastAsia" w:hAnsi="黑体" w:eastAsia="黑体" w:cs="黑体"/>
                <w:color w:val="auto"/>
                <w:sz w:val="24"/>
                <w:highlight w:val="none"/>
              </w:rPr>
              <w:t>）</w:t>
            </w:r>
            <w:r>
              <w:rPr>
                <w:rFonts w:hint="eastAsia" w:hAnsi="黑体" w:eastAsia="黑体" w:cs="黑体"/>
                <w:color w:val="auto"/>
                <w:sz w:val="24"/>
                <w:highlight w:val="none"/>
                <w:lang w:eastAsia="zh-CN"/>
              </w:rPr>
              <w:t>、设备维修产生的废润滑油（</w:t>
            </w:r>
            <w:r>
              <w:rPr>
                <w:rFonts w:hint="eastAsia" w:hAnsi="黑体" w:eastAsia="黑体" w:cs="黑体"/>
                <w:color w:val="auto"/>
                <w:sz w:val="24"/>
                <w:highlight w:val="none"/>
                <w:lang w:val="en-US" w:eastAsia="zh-CN"/>
              </w:rPr>
              <w:t>S4</w:t>
            </w:r>
            <w:r>
              <w:rPr>
                <w:rFonts w:hint="eastAsia" w:hAnsi="黑体" w:eastAsia="黑体" w:cs="黑体"/>
                <w:color w:val="auto"/>
                <w:sz w:val="24"/>
                <w:highlight w:val="none"/>
                <w:lang w:eastAsia="zh-CN"/>
              </w:rPr>
              <w:t>）</w:t>
            </w:r>
            <w:r>
              <w:rPr>
                <w:rFonts w:hint="eastAsia" w:eastAsia="黑体"/>
                <w:color w:val="auto"/>
                <w:sz w:val="24"/>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hAnsi="宋体"/>
                <w:color w:val="auto"/>
                <w:sz w:val="24"/>
                <w:highlight w:val="none"/>
                <w:lang w:eastAsia="zh-CN"/>
              </w:rPr>
            </w:pPr>
            <w:r>
              <w:rPr>
                <w:rFonts w:hint="eastAsia" w:hAnsi="宋体"/>
                <w:color w:val="auto"/>
                <w:sz w:val="24"/>
                <w:highlight w:val="none"/>
                <w:lang w:eastAsia="zh-CN"/>
              </w:rPr>
              <w:t>（</w:t>
            </w:r>
            <w:r>
              <w:rPr>
                <w:rFonts w:hint="eastAsia" w:hAnsi="宋体"/>
                <w:color w:val="auto"/>
                <w:sz w:val="24"/>
                <w:highlight w:val="none"/>
                <w:lang w:val="en-US" w:eastAsia="zh-CN"/>
              </w:rPr>
              <w:t>3</w:t>
            </w:r>
            <w:r>
              <w:rPr>
                <w:rFonts w:hint="eastAsia" w:hAnsi="宋体"/>
                <w:color w:val="auto"/>
                <w:sz w:val="24"/>
                <w:highlight w:val="none"/>
                <w:lang w:eastAsia="zh-CN"/>
              </w:rPr>
              <w:t>）机加工</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hAnsi="宋体"/>
                <w:color w:val="auto"/>
                <w:sz w:val="24"/>
                <w:highlight w:val="none"/>
                <w:lang w:eastAsia="zh-CN"/>
              </w:rPr>
            </w:pPr>
            <w:r>
              <w:rPr>
                <w:rFonts w:hint="eastAsia" w:hAnsi="宋体"/>
                <w:color w:val="auto"/>
                <w:sz w:val="24"/>
                <w:highlight w:val="none"/>
                <w:lang w:eastAsia="zh-CN"/>
              </w:rPr>
              <w:t>按照设计要求对下好的料进行机加工，主要设备为加工中心、车床、钻床、磨床、镗床。</w:t>
            </w:r>
            <w:r>
              <w:rPr>
                <w:rFonts w:hint="eastAsia" w:hAnsi="宋体"/>
                <w:color w:val="auto"/>
                <w:sz w:val="24"/>
                <w:highlight w:val="none"/>
              </w:rPr>
              <w:t>通过铣刀对工件表面进行加工，通常铣刀以旋转运动为主运动，工件和铣刀的移动为进给运动，铣床运行过程中使用切削液，切削液循环使用，定期</w:t>
            </w:r>
            <w:r>
              <w:rPr>
                <w:rFonts w:hint="eastAsia" w:hAnsi="宋体"/>
                <w:color w:val="auto"/>
                <w:sz w:val="24"/>
                <w:highlight w:val="none"/>
                <w:lang w:eastAsia="zh-CN"/>
              </w:rPr>
              <w:t>清理</w:t>
            </w:r>
            <w:r>
              <w:rPr>
                <w:rFonts w:hint="eastAsia" w:hAnsi="宋体"/>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eastAsia="黑体"/>
                <w:color w:val="auto"/>
                <w:sz w:val="24"/>
                <w:highlight w:val="none"/>
              </w:rPr>
            </w:pPr>
            <w:r>
              <w:rPr>
                <w:rFonts w:hint="eastAsia" w:hAnsi="黑体" w:eastAsia="黑体" w:cs="黑体"/>
                <w:color w:val="auto"/>
                <w:sz w:val="24"/>
                <w:highlight w:val="none"/>
                <w:lang w:eastAsia="zh-CN"/>
              </w:rPr>
              <w:t>技改项目</w:t>
            </w:r>
            <w:r>
              <w:rPr>
                <w:rFonts w:hint="eastAsia" w:hAnsi="黑体" w:eastAsia="黑体" w:cs="黑体"/>
                <w:color w:val="auto"/>
                <w:sz w:val="24"/>
                <w:highlight w:val="none"/>
              </w:rPr>
              <w:t>产污节点：</w:t>
            </w:r>
            <w:r>
              <w:rPr>
                <w:rFonts w:hint="eastAsia" w:hAnsi="黑体" w:eastAsia="黑体" w:cs="黑体"/>
                <w:color w:val="auto"/>
                <w:sz w:val="24"/>
                <w:highlight w:val="none"/>
                <w:lang w:eastAsia="zh-CN"/>
              </w:rPr>
              <w:t>加工中心、车床、钻床、磨床、镗床、铣床</w:t>
            </w:r>
            <w:r>
              <w:rPr>
                <w:rFonts w:hint="eastAsia" w:hAnsi="黑体" w:eastAsia="黑体" w:cs="黑体"/>
                <w:color w:val="auto"/>
                <w:sz w:val="24"/>
                <w:highlight w:val="none"/>
              </w:rPr>
              <w:t>噪声（</w:t>
            </w:r>
            <w:r>
              <w:rPr>
                <w:rFonts w:hint="eastAsia" w:eastAsia="黑体" w:cs="黑体"/>
                <w:color w:val="auto"/>
                <w:sz w:val="24"/>
                <w:highlight w:val="none"/>
              </w:rPr>
              <w:t>N</w:t>
            </w:r>
            <w:r>
              <w:rPr>
                <w:rFonts w:hint="eastAsia" w:eastAsia="黑体" w:cs="黑体"/>
                <w:color w:val="auto"/>
                <w:sz w:val="24"/>
                <w:highlight w:val="none"/>
                <w:lang w:val="en-US" w:eastAsia="zh-CN"/>
              </w:rPr>
              <w:t>4-N9</w:t>
            </w:r>
            <w:r>
              <w:rPr>
                <w:rFonts w:hint="eastAsia" w:hAnsi="黑体" w:eastAsia="黑体" w:cs="黑体"/>
                <w:color w:val="auto"/>
                <w:sz w:val="24"/>
                <w:highlight w:val="none"/>
              </w:rPr>
              <w:t>）、产生的下脚料（</w:t>
            </w:r>
            <w:r>
              <w:rPr>
                <w:rFonts w:hint="eastAsia" w:hAnsi="黑体" w:eastAsia="黑体" w:cs="黑体"/>
                <w:color w:val="auto"/>
                <w:sz w:val="24"/>
                <w:highlight w:val="none"/>
                <w:lang w:val="en-US" w:eastAsia="zh-CN"/>
              </w:rPr>
              <w:t>S1、</w:t>
            </w:r>
            <w:r>
              <w:rPr>
                <w:rFonts w:hint="eastAsia" w:eastAsia="黑体" w:cs="黑体"/>
                <w:color w:val="auto"/>
                <w:sz w:val="24"/>
                <w:highlight w:val="none"/>
              </w:rPr>
              <w:t>S</w:t>
            </w:r>
            <w:r>
              <w:rPr>
                <w:rFonts w:hint="eastAsia" w:eastAsia="黑体" w:cs="黑体"/>
                <w:color w:val="auto"/>
                <w:sz w:val="24"/>
                <w:highlight w:val="none"/>
                <w:lang w:val="en-US" w:eastAsia="zh-CN"/>
              </w:rPr>
              <w:t>2</w:t>
            </w:r>
            <w:r>
              <w:rPr>
                <w:rFonts w:hint="eastAsia" w:eastAsia="黑体"/>
                <w:color w:val="auto"/>
                <w:sz w:val="24"/>
                <w:highlight w:val="none"/>
              </w:rPr>
              <w:t>）</w:t>
            </w:r>
            <w:r>
              <w:rPr>
                <w:rFonts w:hint="eastAsia" w:eastAsia="黑体"/>
                <w:color w:val="auto"/>
                <w:sz w:val="24"/>
                <w:highlight w:val="none"/>
                <w:lang w:eastAsia="zh-CN"/>
              </w:rPr>
              <w:t>、铣床产生的废切削液（</w:t>
            </w:r>
            <w:r>
              <w:rPr>
                <w:rFonts w:hint="eastAsia" w:eastAsia="黑体"/>
                <w:color w:val="auto"/>
                <w:sz w:val="24"/>
                <w:highlight w:val="none"/>
                <w:lang w:val="en-US" w:eastAsia="zh-CN"/>
              </w:rPr>
              <w:t>S3</w:t>
            </w:r>
            <w:r>
              <w:rPr>
                <w:rFonts w:hint="eastAsia" w:eastAsia="黑体"/>
                <w:color w:val="auto"/>
                <w:sz w:val="24"/>
                <w:highlight w:val="none"/>
                <w:lang w:eastAsia="zh-CN"/>
              </w:rPr>
              <w:t>）、废润滑油（</w:t>
            </w:r>
            <w:r>
              <w:rPr>
                <w:rFonts w:hint="eastAsia" w:eastAsia="黑体"/>
                <w:color w:val="auto"/>
                <w:sz w:val="24"/>
                <w:highlight w:val="none"/>
                <w:lang w:val="en-US" w:eastAsia="zh-CN"/>
              </w:rPr>
              <w:t>S4</w:t>
            </w:r>
            <w:r>
              <w:rPr>
                <w:rFonts w:hint="eastAsia" w:eastAsia="黑体"/>
                <w:color w:val="auto"/>
                <w:sz w:val="24"/>
                <w:highlight w:val="none"/>
                <w:lang w:eastAsia="zh-CN"/>
              </w:rPr>
              <w:t>）</w:t>
            </w:r>
            <w:r>
              <w:rPr>
                <w:rFonts w:eastAsia="黑体"/>
                <w:color w:val="auto"/>
                <w:sz w:val="24"/>
                <w:highlight w:val="none"/>
              </w:rPr>
              <w:t>。</w:t>
            </w:r>
          </w:p>
          <w:p>
            <w:pPr>
              <w:pStyle w:val="22"/>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color w:val="auto"/>
                <w:highlight w:val="none"/>
              </w:rPr>
            </w:pPr>
            <w:r>
              <w:rPr>
                <w:rFonts w:hint="eastAsia" w:hAnsi="黑体" w:eastAsia="黑体" w:cs="黑体"/>
                <w:color w:val="auto"/>
                <w:sz w:val="24"/>
                <w:highlight w:val="none"/>
                <w:lang w:eastAsia="zh-CN"/>
              </w:rPr>
              <w:t>现有工程产污节点：加工中心、车床、钻床、压力机等设备产生的下脚料、废润滑油、废切削液、噪声。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color w:val="auto"/>
                <w:sz w:val="24"/>
                <w:highlight w:val="none"/>
              </w:rPr>
            </w:pPr>
            <w:r>
              <w:rPr>
                <w:rFonts w:hint="eastAsia" w:hAnsi="宋体"/>
                <w:color w:val="auto"/>
                <w:sz w:val="24"/>
                <w:highlight w:val="none"/>
                <w:lang w:eastAsia="zh-CN"/>
              </w:rPr>
              <w:t>（</w:t>
            </w:r>
            <w:r>
              <w:rPr>
                <w:rFonts w:hint="eastAsia" w:hAnsi="宋体"/>
                <w:color w:val="auto"/>
                <w:sz w:val="24"/>
                <w:highlight w:val="none"/>
                <w:lang w:val="en-US" w:eastAsia="zh-CN"/>
              </w:rPr>
              <w:t>4</w:t>
            </w:r>
            <w:r>
              <w:rPr>
                <w:rFonts w:hint="eastAsia" w:hAnsi="宋体"/>
                <w:color w:val="auto"/>
                <w:sz w:val="24"/>
                <w:highlight w:val="none"/>
                <w:lang w:eastAsia="zh-CN"/>
              </w:rPr>
              <w:t>）</w:t>
            </w:r>
            <w:r>
              <w:rPr>
                <w:rFonts w:hint="eastAsia" w:hAnsi="宋体"/>
                <w:color w:val="auto"/>
                <w:sz w:val="24"/>
                <w:highlight w:val="none"/>
              </w:rPr>
              <w:t>焊接加工</w:t>
            </w:r>
          </w:p>
          <w:p>
            <w:pPr>
              <w:spacing w:line="440" w:lineRule="exact"/>
              <w:ind w:firstLine="480" w:firstLineChars="200"/>
              <w:rPr>
                <w:color w:val="auto"/>
                <w:sz w:val="24"/>
                <w:highlight w:val="none"/>
              </w:rPr>
            </w:pPr>
            <w:r>
              <w:rPr>
                <w:rFonts w:hint="eastAsia" w:hAnsi="宋体"/>
                <w:color w:val="auto"/>
                <w:sz w:val="24"/>
                <w:highlight w:val="none"/>
              </w:rPr>
              <w:t>对</w:t>
            </w:r>
            <w:r>
              <w:rPr>
                <w:rFonts w:hint="eastAsia" w:hAnsi="宋体"/>
                <w:color w:val="auto"/>
                <w:sz w:val="24"/>
                <w:highlight w:val="none"/>
                <w:lang w:eastAsia="zh-CN"/>
              </w:rPr>
              <w:t>加工好的部件</w:t>
            </w:r>
            <w:r>
              <w:rPr>
                <w:rFonts w:hint="eastAsia" w:hAnsi="宋体"/>
                <w:color w:val="auto"/>
                <w:sz w:val="24"/>
                <w:highlight w:val="none"/>
              </w:rPr>
              <w:t>进行焊接组装。</w:t>
            </w:r>
          </w:p>
          <w:p>
            <w:pPr>
              <w:spacing w:line="440" w:lineRule="exact"/>
              <w:ind w:firstLine="480" w:firstLineChars="200"/>
              <w:rPr>
                <w:rFonts w:hint="eastAsia" w:eastAsia="黑体" w:cs="黑体"/>
                <w:color w:val="auto"/>
                <w:sz w:val="24"/>
                <w:highlight w:val="none"/>
              </w:rPr>
            </w:pPr>
            <w:r>
              <w:rPr>
                <w:rFonts w:hint="eastAsia" w:hAnsi="黑体" w:eastAsia="黑体" w:cs="黑体"/>
                <w:color w:val="auto"/>
                <w:sz w:val="24"/>
                <w:highlight w:val="none"/>
                <w:lang w:eastAsia="zh-CN"/>
              </w:rPr>
              <w:t>现有工程</w:t>
            </w:r>
            <w:r>
              <w:rPr>
                <w:rFonts w:hint="eastAsia" w:hAnsi="黑体" w:eastAsia="黑体" w:cs="黑体"/>
                <w:color w:val="auto"/>
                <w:sz w:val="24"/>
                <w:highlight w:val="none"/>
              </w:rPr>
              <w:t>产污节点：焊接产生的废焊条、焊接废气。</w:t>
            </w:r>
          </w:p>
          <w:p>
            <w:pPr>
              <w:pStyle w:val="44"/>
              <w:spacing w:line="440" w:lineRule="exact"/>
              <w:ind w:firstLine="480"/>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w:t>
            </w:r>
            <w:r>
              <w:rPr>
                <w:rFonts w:hint="eastAsia" w:hAnsi="宋体" w:cs="Times New Roman"/>
                <w:color w:val="auto"/>
                <w:kern w:val="2"/>
                <w:sz w:val="24"/>
                <w:szCs w:val="24"/>
                <w:highlight w:val="none"/>
                <w:lang w:val="en-US" w:eastAsia="zh-CN" w:bidi="ar-SA"/>
              </w:rPr>
              <w:t>5</w:t>
            </w:r>
            <w:r>
              <w:rPr>
                <w:rFonts w:hint="eastAsia" w:ascii="Times New Roman" w:hAnsi="宋体" w:eastAsia="宋体" w:cs="Times New Roman"/>
                <w:color w:val="auto"/>
                <w:kern w:val="2"/>
                <w:sz w:val="24"/>
                <w:szCs w:val="24"/>
                <w:highlight w:val="none"/>
                <w:lang w:val="en-US" w:eastAsia="zh-CN" w:bidi="ar-SA"/>
              </w:rPr>
              <w:t>）自制抛光机打磨</w:t>
            </w:r>
          </w:p>
          <w:p>
            <w:pPr>
              <w:pStyle w:val="44"/>
              <w:spacing w:line="440" w:lineRule="exact"/>
              <w:ind w:firstLine="480"/>
              <w:rPr>
                <w:rFonts w:hint="eastAsia" w:ascii="Times New Roman" w:hAnsi="宋体" w:eastAsia="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本次技改项目设置2个固定</w:t>
            </w:r>
            <w:r>
              <w:rPr>
                <w:rFonts w:hint="eastAsia" w:ascii="Times New Roman" w:hAnsi="宋体" w:eastAsia="宋体" w:cs="Times New Roman"/>
                <w:color w:val="auto"/>
                <w:kern w:val="2"/>
                <w:sz w:val="24"/>
                <w:szCs w:val="24"/>
                <w:highlight w:val="none"/>
                <w:lang w:val="en-US" w:eastAsia="zh-CN" w:bidi="ar-SA"/>
              </w:rPr>
              <w:t>自制抛光机打磨</w:t>
            </w:r>
            <w:r>
              <w:rPr>
                <w:rFonts w:hint="eastAsia" w:hAnsi="宋体" w:cs="Times New Roman"/>
                <w:color w:val="auto"/>
                <w:kern w:val="2"/>
                <w:sz w:val="24"/>
                <w:szCs w:val="24"/>
                <w:highlight w:val="none"/>
                <w:lang w:val="en-US" w:eastAsia="zh-CN" w:bidi="ar-SA"/>
              </w:rPr>
              <w:t>工位，打磨工位三面围挡，上部设置集气罩，收集的废气引入1套脉冲布袋除尘器处理后，经1根15m高排气筒排放。</w:t>
            </w:r>
            <w:r>
              <w:rPr>
                <w:rFonts w:hint="eastAsia" w:ascii="Times New Roman" w:hAnsi="宋体" w:eastAsia="宋体" w:cs="Times New Roman"/>
                <w:color w:val="auto"/>
                <w:kern w:val="2"/>
                <w:sz w:val="24"/>
                <w:szCs w:val="24"/>
                <w:highlight w:val="none"/>
                <w:lang w:val="en-US" w:eastAsia="zh-CN" w:bidi="ar-SA"/>
              </w:rPr>
              <w:t>自制抛光机</w:t>
            </w:r>
            <w:r>
              <w:rPr>
                <w:rFonts w:hint="eastAsia" w:hAnsi="宋体" w:cs="Times New Roman"/>
                <w:color w:val="auto"/>
                <w:kern w:val="2"/>
                <w:sz w:val="24"/>
                <w:szCs w:val="24"/>
                <w:highlight w:val="none"/>
                <w:lang w:val="en-US" w:eastAsia="zh-CN" w:bidi="ar-SA"/>
              </w:rPr>
              <w:t>为砂轮机表面加装棉质材料，对风机叶表面进行打磨。</w:t>
            </w:r>
          </w:p>
          <w:p>
            <w:pPr>
              <w:pStyle w:val="44"/>
              <w:spacing w:line="440" w:lineRule="exact"/>
              <w:ind w:firstLine="480"/>
              <w:rPr>
                <w:rFonts w:hint="eastAsia" w:hAnsi="黑体" w:eastAsia="黑体" w:cs="黑体"/>
                <w:color w:val="auto"/>
                <w:sz w:val="24"/>
                <w:highlight w:val="none"/>
                <w:lang w:eastAsia="zh-CN"/>
              </w:rPr>
            </w:pPr>
            <w:r>
              <w:rPr>
                <w:rFonts w:hint="eastAsia" w:hAnsi="黑体" w:eastAsia="黑体" w:cs="黑体"/>
                <w:color w:val="auto"/>
                <w:sz w:val="24"/>
                <w:highlight w:val="none"/>
                <w:lang w:eastAsia="zh-CN"/>
              </w:rPr>
              <w:t>技改项目</w:t>
            </w:r>
            <w:r>
              <w:rPr>
                <w:rFonts w:hint="eastAsia" w:hAnsi="黑体" w:eastAsia="黑体" w:cs="黑体"/>
                <w:color w:val="auto"/>
                <w:sz w:val="24"/>
                <w:highlight w:val="none"/>
              </w:rPr>
              <w:t>产污节点：</w:t>
            </w:r>
            <w:r>
              <w:rPr>
                <w:rFonts w:hint="eastAsia" w:hAnsi="黑体" w:eastAsia="黑体" w:cs="黑体"/>
                <w:color w:val="auto"/>
                <w:sz w:val="24"/>
                <w:highlight w:val="none"/>
                <w:lang w:eastAsia="zh-CN"/>
              </w:rPr>
              <w:t>自制抛光机运行产生的粉尘（</w:t>
            </w:r>
            <w:r>
              <w:rPr>
                <w:rFonts w:hint="eastAsia" w:hAnsi="黑体" w:eastAsia="黑体" w:cs="黑体"/>
                <w:color w:val="auto"/>
                <w:sz w:val="24"/>
                <w:highlight w:val="none"/>
                <w:lang w:val="en-US" w:eastAsia="zh-CN"/>
              </w:rPr>
              <w:t>G2</w:t>
            </w:r>
            <w:r>
              <w:rPr>
                <w:rFonts w:hint="eastAsia" w:hAnsi="黑体" w:eastAsia="黑体" w:cs="黑体"/>
                <w:color w:val="auto"/>
                <w:sz w:val="24"/>
                <w:highlight w:val="none"/>
                <w:lang w:eastAsia="zh-CN"/>
              </w:rPr>
              <w:t>）</w:t>
            </w:r>
            <w:r>
              <w:rPr>
                <w:rFonts w:hint="eastAsia" w:hAnsi="黑体" w:eastAsia="黑体" w:cs="黑体"/>
                <w:color w:val="auto"/>
                <w:sz w:val="24"/>
                <w:highlight w:val="none"/>
                <w:lang w:val="en-US" w:eastAsia="zh-CN"/>
              </w:rPr>
              <w:t>、</w:t>
            </w:r>
            <w:r>
              <w:rPr>
                <w:rFonts w:hint="eastAsia" w:hAnsi="黑体" w:eastAsia="黑体" w:cs="黑体"/>
                <w:color w:val="auto"/>
                <w:sz w:val="24"/>
                <w:highlight w:val="none"/>
              </w:rPr>
              <w:t>噪声（</w:t>
            </w:r>
            <w:r>
              <w:rPr>
                <w:rFonts w:hint="eastAsia" w:eastAsia="黑体" w:cs="黑体"/>
                <w:color w:val="auto"/>
                <w:sz w:val="24"/>
                <w:highlight w:val="none"/>
              </w:rPr>
              <w:t>N</w:t>
            </w:r>
            <w:r>
              <w:rPr>
                <w:rFonts w:hint="eastAsia" w:eastAsia="黑体" w:cs="黑体"/>
                <w:color w:val="auto"/>
                <w:sz w:val="24"/>
                <w:highlight w:val="none"/>
                <w:lang w:val="en-US" w:eastAsia="zh-CN"/>
              </w:rPr>
              <w:t>10</w:t>
            </w:r>
            <w:r>
              <w:rPr>
                <w:rFonts w:hint="eastAsia" w:hAnsi="黑体" w:eastAsia="黑体" w:cs="黑体"/>
                <w:color w:val="auto"/>
                <w:sz w:val="24"/>
                <w:highlight w:val="none"/>
              </w:rPr>
              <w:t>）</w:t>
            </w:r>
            <w:r>
              <w:rPr>
                <w:rFonts w:hint="eastAsia" w:hAnsi="黑体" w:eastAsia="黑体" w:cs="黑体"/>
                <w:color w:val="auto"/>
                <w:sz w:val="24"/>
                <w:highlight w:val="none"/>
                <w:lang w:eastAsia="zh-CN"/>
              </w:rPr>
              <w:t>。</w:t>
            </w:r>
          </w:p>
          <w:p>
            <w:pPr>
              <w:pStyle w:val="44"/>
              <w:spacing w:line="440" w:lineRule="exact"/>
              <w:ind w:firstLine="480"/>
              <w:rPr>
                <w:rFonts w:hint="eastAsia" w:hAnsi="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（6）退火</w:t>
            </w:r>
          </w:p>
          <w:p>
            <w:pPr>
              <w:pStyle w:val="44"/>
              <w:spacing w:line="440" w:lineRule="exact"/>
              <w:ind w:firstLine="480"/>
              <w:rPr>
                <w:rFonts w:hint="eastAsia" w:hAnsi="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加工好的风机叶片及备件放入电阻炉中，加热升温至800℃，保温2h，自然冷却至常温，以消除应力。</w:t>
            </w:r>
          </w:p>
          <w:p>
            <w:pPr>
              <w:pStyle w:val="44"/>
              <w:spacing w:line="440" w:lineRule="exact"/>
              <w:ind w:firstLine="480"/>
              <w:rPr>
                <w:rFonts w:hint="default" w:hAnsi="宋体" w:cs="Times New Roman"/>
                <w:color w:val="auto"/>
                <w:kern w:val="2"/>
                <w:sz w:val="24"/>
                <w:szCs w:val="24"/>
                <w:highlight w:val="none"/>
                <w:lang w:val="en-US" w:eastAsia="zh-CN" w:bidi="ar-SA"/>
              </w:rPr>
            </w:pPr>
            <w:r>
              <w:rPr>
                <w:rFonts w:hint="eastAsia" w:hAnsi="黑体" w:eastAsia="黑体" w:cs="黑体"/>
                <w:color w:val="auto"/>
                <w:sz w:val="24"/>
                <w:highlight w:val="none"/>
                <w:lang w:eastAsia="zh-CN"/>
              </w:rPr>
              <w:t>技改项目</w:t>
            </w:r>
            <w:r>
              <w:rPr>
                <w:rFonts w:hint="eastAsia" w:hAnsi="黑体" w:eastAsia="黑体" w:cs="黑体"/>
                <w:color w:val="auto"/>
                <w:sz w:val="24"/>
                <w:highlight w:val="none"/>
              </w:rPr>
              <w:t>产污节点：</w:t>
            </w:r>
            <w:r>
              <w:rPr>
                <w:rFonts w:hint="eastAsia" w:hAnsi="黑体" w:eastAsia="黑体" w:cs="黑体"/>
                <w:color w:val="auto"/>
                <w:sz w:val="24"/>
                <w:highlight w:val="none"/>
                <w:lang w:eastAsia="zh-CN"/>
              </w:rPr>
              <w:t>电阻炉</w:t>
            </w:r>
            <w:r>
              <w:rPr>
                <w:rFonts w:hint="eastAsia" w:hAnsi="黑体" w:eastAsia="黑体" w:cs="黑体"/>
                <w:color w:val="auto"/>
                <w:sz w:val="24"/>
                <w:highlight w:val="none"/>
              </w:rPr>
              <w:t>噪声（</w:t>
            </w:r>
            <w:r>
              <w:rPr>
                <w:rFonts w:hint="eastAsia" w:eastAsia="黑体" w:cs="黑体"/>
                <w:color w:val="auto"/>
                <w:sz w:val="24"/>
                <w:highlight w:val="none"/>
              </w:rPr>
              <w:t>N</w:t>
            </w:r>
            <w:r>
              <w:rPr>
                <w:rFonts w:hint="eastAsia" w:eastAsia="黑体" w:cs="黑体"/>
                <w:color w:val="auto"/>
                <w:sz w:val="24"/>
                <w:highlight w:val="none"/>
                <w:lang w:val="en-US" w:eastAsia="zh-CN"/>
              </w:rPr>
              <w:t>11</w:t>
            </w:r>
            <w:r>
              <w:rPr>
                <w:rFonts w:hint="eastAsia" w:hAnsi="黑体" w:eastAsia="黑体" w:cs="黑体"/>
                <w:color w:val="auto"/>
                <w:sz w:val="24"/>
                <w:highlight w:val="none"/>
              </w:rPr>
              <w:t>）</w:t>
            </w:r>
            <w:r>
              <w:rPr>
                <w:rFonts w:hint="eastAsia" w:hAnsi="黑体" w:eastAsia="黑体" w:cs="黑体"/>
                <w:color w:val="auto"/>
                <w:sz w:val="24"/>
                <w:highlight w:val="none"/>
                <w:lang w:eastAsia="zh-CN"/>
              </w:rPr>
              <w:t>。</w:t>
            </w:r>
          </w:p>
          <w:p>
            <w:pPr>
              <w:spacing w:line="440" w:lineRule="exact"/>
              <w:ind w:firstLine="480" w:firstLineChars="200"/>
              <w:rPr>
                <w:rFonts w:hint="eastAsia"/>
                <w:color w:val="auto"/>
                <w:sz w:val="24"/>
                <w:highlight w:val="none"/>
              </w:rPr>
            </w:pPr>
            <w:r>
              <w:rPr>
                <w:rFonts w:hint="eastAsia" w:hAnsi="宋体"/>
                <w:color w:val="auto"/>
                <w:sz w:val="24"/>
                <w:highlight w:val="none"/>
              </w:rPr>
              <w:t>（</w:t>
            </w:r>
            <w:r>
              <w:rPr>
                <w:rFonts w:hint="eastAsia" w:hAnsi="宋体"/>
                <w:color w:val="auto"/>
                <w:sz w:val="24"/>
                <w:highlight w:val="none"/>
                <w:lang w:val="en-US" w:eastAsia="zh-CN"/>
              </w:rPr>
              <w:t>7）</w:t>
            </w:r>
            <w:r>
              <w:rPr>
                <w:rFonts w:hint="eastAsia" w:hAnsi="宋体"/>
                <w:color w:val="auto"/>
                <w:sz w:val="24"/>
                <w:highlight w:val="none"/>
              </w:rPr>
              <w:t>检验</w:t>
            </w:r>
          </w:p>
          <w:p>
            <w:pPr>
              <w:spacing w:line="440" w:lineRule="exact"/>
              <w:ind w:firstLine="480" w:firstLineChars="200"/>
              <w:rPr>
                <w:rFonts w:hint="eastAsia" w:hAnsi="宋体" w:eastAsia="宋体"/>
                <w:color w:val="auto"/>
                <w:sz w:val="24"/>
                <w:highlight w:val="none"/>
                <w:lang w:eastAsia="zh-CN"/>
              </w:rPr>
            </w:pPr>
            <w:r>
              <w:rPr>
                <w:rFonts w:hint="eastAsia" w:hAnsi="宋体"/>
                <w:color w:val="auto"/>
                <w:sz w:val="24"/>
                <w:highlight w:val="none"/>
              </w:rPr>
              <w:t>对</w:t>
            </w:r>
            <w:r>
              <w:rPr>
                <w:rFonts w:hint="eastAsia" w:hAnsi="宋体"/>
                <w:color w:val="auto"/>
                <w:sz w:val="24"/>
                <w:highlight w:val="none"/>
                <w:lang w:eastAsia="zh-CN"/>
              </w:rPr>
              <w:t>焊接好的工件进行动平衡等性能检验。</w:t>
            </w:r>
          </w:p>
          <w:p>
            <w:pPr>
              <w:pStyle w:val="44"/>
              <w:spacing w:line="440" w:lineRule="exact"/>
              <w:ind w:firstLine="480"/>
              <w:rPr>
                <w:rFonts w:hint="eastAsia" w:hAnsi="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（8）入库</w:t>
            </w:r>
          </w:p>
          <w:p>
            <w:pPr>
              <w:pStyle w:val="2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textAlignment w:val="auto"/>
              <w:rPr>
                <w:rFonts w:hint="eastAsia" w:hAnsi="黑体" w:eastAsia="黑体" w:cs="黑体"/>
                <w:color w:val="auto"/>
                <w:sz w:val="24"/>
                <w:highlight w:val="none"/>
                <w:lang w:eastAsia="zh-CN"/>
              </w:rPr>
            </w:pPr>
            <w:r>
              <w:rPr>
                <w:rFonts w:hint="eastAsia" w:hAnsi="宋体" w:cs="Times New Roman"/>
                <w:color w:val="auto"/>
                <w:kern w:val="2"/>
                <w:sz w:val="24"/>
                <w:szCs w:val="24"/>
                <w:highlight w:val="none"/>
                <w:lang w:val="en-US" w:eastAsia="zh-CN" w:bidi="ar-SA"/>
              </w:rPr>
              <w:t>加工好的风机叶片及备件存放至原料存放区，待售。</w:t>
            </w: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r>
              <w:rPr>
                <w:color w:val="auto"/>
                <w:highlight w:val="none"/>
              </w:rPr>
              <w:drawing>
                <wp:anchor distT="0" distB="0" distL="114300" distR="114300" simplePos="0" relativeHeight="251755520" behindDoc="0" locked="0" layoutInCell="1" allowOverlap="1">
                  <wp:simplePos x="0" y="0"/>
                  <wp:positionH relativeFrom="column">
                    <wp:posOffset>829945</wp:posOffset>
                  </wp:positionH>
                  <wp:positionV relativeFrom="paragraph">
                    <wp:posOffset>61595</wp:posOffset>
                  </wp:positionV>
                  <wp:extent cx="4337685" cy="4624070"/>
                  <wp:effectExtent l="0" t="0" r="5715" b="50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4337685" cy="4624070"/>
                          </a:xfrm>
                          <a:prstGeom prst="rect">
                            <a:avLst/>
                          </a:prstGeom>
                          <a:noFill/>
                          <a:ln>
                            <a:noFill/>
                          </a:ln>
                        </pic:spPr>
                      </pic:pic>
                    </a:graphicData>
                  </a:graphic>
                </wp:anchor>
              </w:drawing>
            </w: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Times New Roman" w:hAnsi="Times New Roman"/>
                <w:color w:val="auto"/>
                <w:highlight w:val="none"/>
                <w:lang w:eastAsia="zh-CN"/>
              </w:rPr>
            </w:pP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图</w:t>
            </w:r>
            <w:r>
              <w:rPr>
                <w:rFonts w:hint="eastAsia" w:ascii="Times New Roman" w:hAnsi="Times New Roman"/>
                <w:color w:val="auto"/>
                <w:highlight w:val="none"/>
                <w:lang w:val="en-US" w:eastAsia="zh-CN"/>
              </w:rPr>
              <w:t xml:space="preserve">1    </w:t>
            </w:r>
            <w:r>
              <w:rPr>
                <w:rFonts w:ascii="Times New Roman" w:hAnsi="Times New Roman"/>
                <w:color w:val="auto"/>
                <w:highlight w:val="none"/>
              </w:rPr>
              <w:t>风机叶片和</w:t>
            </w:r>
            <w:r>
              <w:rPr>
                <w:rFonts w:hint="eastAsia" w:ascii="Times New Roman" w:hAnsi="Times New Roman"/>
                <w:color w:val="auto"/>
                <w:highlight w:val="none"/>
                <w:lang w:eastAsia="zh-CN"/>
              </w:rPr>
              <w:t>备件加工</w:t>
            </w:r>
            <w:r>
              <w:rPr>
                <w:rFonts w:ascii="Times New Roman" w:hAnsi="Times New Roman"/>
                <w:color w:val="auto"/>
                <w:highlight w:val="none"/>
              </w:rPr>
              <w:t>工艺流程</w:t>
            </w:r>
          </w:p>
          <w:p>
            <w:pPr>
              <w:pStyle w:val="2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hAnsi="黑体" w:eastAsia="黑体" w:cs="黑体"/>
                <w:color w:val="auto"/>
                <w:sz w:val="24"/>
                <w:highlight w:val="none"/>
              </w:rPr>
            </w:pPr>
            <w:r>
              <w:rPr>
                <w:rFonts w:hint="eastAsia" w:ascii="Times New Roman" w:hAnsi="Times New Roman"/>
                <w:color w:val="auto"/>
                <w:highlight w:val="none"/>
                <w:lang w:eastAsia="zh-CN"/>
              </w:rPr>
              <w:t>二、</w:t>
            </w:r>
            <w:r>
              <w:rPr>
                <w:rFonts w:ascii="Times New Roman" w:hAnsi="Times New Roman"/>
                <w:color w:val="auto"/>
                <w:highlight w:val="none"/>
              </w:rPr>
              <w:t>风机</w:t>
            </w:r>
            <w:r>
              <w:rPr>
                <w:rFonts w:hint="eastAsia" w:ascii="Times New Roman" w:hAnsi="Times New Roman"/>
                <w:color w:val="auto"/>
                <w:highlight w:val="none"/>
                <w:lang w:eastAsia="zh-CN"/>
              </w:rPr>
              <w:t>修复</w:t>
            </w:r>
          </w:p>
          <w:p>
            <w:pPr>
              <w:pStyle w:val="44"/>
              <w:spacing w:line="440" w:lineRule="exact"/>
              <w:ind w:firstLine="480"/>
              <w:rPr>
                <w:rFonts w:hint="eastAsia" w:ascii="Times New Roman" w:hAnsi="Times New Roman" w:eastAsia="宋体" w:cs="宋体"/>
                <w:color w:val="auto"/>
                <w:kern w:val="0"/>
                <w:sz w:val="24"/>
                <w:szCs w:val="24"/>
                <w:highlight w:val="none"/>
                <w:lang w:val="en-US" w:eastAsia="zh-CN" w:bidi="ar-SA"/>
              </w:rPr>
            </w:pPr>
            <w:r>
              <w:rPr>
                <w:rFonts w:hint="eastAsia" w:ascii="Times New Roman" w:hAnsi="Times New Roman" w:eastAsia="宋体" w:cs="宋体"/>
                <w:color w:val="auto"/>
                <w:kern w:val="0"/>
                <w:sz w:val="24"/>
                <w:szCs w:val="24"/>
                <w:highlight w:val="none"/>
                <w:lang w:val="en-US" w:eastAsia="zh-CN" w:bidi="ar-SA"/>
              </w:rPr>
              <w:t>风机修复工艺流程、排污节点及污染物治理设施均不变。</w:t>
            </w:r>
            <w:r>
              <w:rPr>
                <w:rFonts w:hint="eastAsia" w:cs="宋体"/>
                <w:color w:val="auto"/>
                <w:kern w:val="0"/>
                <w:sz w:val="24"/>
                <w:szCs w:val="24"/>
                <w:highlight w:val="none"/>
                <w:lang w:val="en-US" w:eastAsia="zh-CN" w:bidi="ar-SA"/>
              </w:rPr>
              <w:t>此处不在赘述。</w:t>
            </w:r>
          </w:p>
          <w:p>
            <w:pPr>
              <w:pStyle w:val="44"/>
              <w:spacing w:line="440" w:lineRule="exact"/>
              <w:ind w:firstLine="480"/>
              <w:rPr>
                <w:rFonts w:hint="eastAsia" w:eastAsia="黑体" w:cs="黑体"/>
                <w:color w:val="auto"/>
                <w:sz w:val="24"/>
                <w:highlight w:val="none"/>
              </w:rPr>
            </w:pPr>
            <w:r>
              <w:rPr>
                <w:rFonts w:hint="eastAsia" w:hAnsi="黑体" w:eastAsia="黑体" w:cs="黑体"/>
                <w:color w:val="auto"/>
                <w:sz w:val="24"/>
                <w:highlight w:val="none"/>
              </w:rPr>
              <w:t>辅助工程排污节点：设备运转检修产生的废液压油（</w:t>
            </w:r>
            <w:r>
              <w:rPr>
                <w:rFonts w:hint="eastAsia" w:eastAsia="黑体" w:cs="黑体"/>
                <w:color w:val="auto"/>
                <w:sz w:val="24"/>
                <w:highlight w:val="none"/>
              </w:rPr>
              <w:t>S</w:t>
            </w:r>
            <w:r>
              <w:rPr>
                <w:rFonts w:hint="eastAsia" w:eastAsia="黑体" w:cs="黑体"/>
                <w:color w:val="auto"/>
                <w:sz w:val="24"/>
                <w:highlight w:val="none"/>
                <w:lang w:val="en-US" w:eastAsia="zh-CN"/>
              </w:rPr>
              <w:t>5</w:t>
            </w:r>
            <w:r>
              <w:rPr>
                <w:rFonts w:hint="eastAsia" w:hAnsi="黑体" w:eastAsia="黑体" w:cs="黑体"/>
                <w:color w:val="auto"/>
                <w:sz w:val="24"/>
                <w:highlight w:val="none"/>
              </w:rPr>
              <w:t>）、</w:t>
            </w:r>
            <w:r>
              <w:rPr>
                <w:rFonts w:hint="eastAsia" w:hAnsi="黑体" w:eastAsia="黑体" w:cs="黑体"/>
                <w:color w:val="auto"/>
                <w:sz w:val="24"/>
                <w:highlight w:val="none"/>
                <w:lang w:eastAsia="zh-CN"/>
              </w:rPr>
              <w:t>废包装桶</w:t>
            </w:r>
            <w:r>
              <w:rPr>
                <w:rFonts w:hint="eastAsia" w:hAnsi="黑体" w:eastAsia="黑体" w:cs="黑体"/>
                <w:color w:val="auto"/>
                <w:sz w:val="24"/>
                <w:highlight w:val="none"/>
              </w:rPr>
              <w:t>（</w:t>
            </w:r>
            <w:r>
              <w:rPr>
                <w:rFonts w:hint="eastAsia" w:eastAsia="黑体" w:cs="黑体"/>
                <w:color w:val="auto"/>
                <w:sz w:val="24"/>
                <w:highlight w:val="none"/>
              </w:rPr>
              <w:t>S</w:t>
            </w:r>
            <w:r>
              <w:rPr>
                <w:rFonts w:hint="eastAsia" w:eastAsia="黑体" w:cs="黑体"/>
                <w:color w:val="auto"/>
                <w:sz w:val="24"/>
                <w:highlight w:val="none"/>
                <w:lang w:val="en-US" w:eastAsia="zh-CN"/>
              </w:rPr>
              <w:t>6</w:t>
            </w:r>
            <w:r>
              <w:rPr>
                <w:rFonts w:hint="eastAsia" w:hAnsi="黑体" w:eastAsia="黑体" w:cs="黑体"/>
                <w:color w:val="auto"/>
                <w:sz w:val="24"/>
                <w:highlight w:val="none"/>
              </w:rPr>
              <w:t>）</w:t>
            </w:r>
            <w:r>
              <w:rPr>
                <w:rFonts w:hint="eastAsia" w:hAnsi="黑体" w:eastAsia="黑体" w:cs="黑体"/>
                <w:color w:val="auto"/>
                <w:sz w:val="24"/>
                <w:highlight w:val="none"/>
                <w:lang w:eastAsia="zh-CN"/>
              </w:rPr>
              <w:t>、除尘器除尘灰（</w:t>
            </w:r>
            <w:r>
              <w:rPr>
                <w:rFonts w:hint="eastAsia" w:hAnsi="黑体" w:eastAsia="黑体" w:cs="黑体"/>
                <w:color w:val="auto"/>
                <w:sz w:val="24"/>
                <w:highlight w:val="none"/>
                <w:lang w:val="en-US" w:eastAsia="zh-CN"/>
              </w:rPr>
              <w:t>S7</w:t>
            </w:r>
            <w:r>
              <w:rPr>
                <w:rFonts w:hint="eastAsia" w:hAnsi="黑体" w:eastAsia="黑体" w:cs="黑体"/>
                <w:color w:val="auto"/>
                <w:sz w:val="24"/>
                <w:highlight w:val="none"/>
                <w:lang w:eastAsia="zh-CN"/>
              </w:rPr>
              <w:t>）、含油废抹布及废手套（</w:t>
            </w:r>
            <w:r>
              <w:rPr>
                <w:rFonts w:hint="eastAsia" w:hAnsi="黑体" w:eastAsia="黑体" w:cs="黑体"/>
                <w:color w:val="auto"/>
                <w:sz w:val="24"/>
                <w:highlight w:val="none"/>
                <w:lang w:val="en-US" w:eastAsia="zh-CN"/>
              </w:rPr>
              <w:t>S8</w:t>
            </w:r>
            <w:r>
              <w:rPr>
                <w:rFonts w:hint="eastAsia" w:hAnsi="黑体" w:eastAsia="黑体" w:cs="黑体"/>
                <w:color w:val="auto"/>
                <w:sz w:val="24"/>
                <w:highlight w:val="none"/>
                <w:lang w:eastAsia="zh-CN"/>
              </w:rPr>
              <w:t>）；风机类噪声（</w:t>
            </w:r>
            <w:r>
              <w:rPr>
                <w:rFonts w:hint="eastAsia" w:hAnsi="黑体" w:eastAsia="黑体" w:cs="黑体"/>
                <w:color w:val="auto"/>
                <w:sz w:val="24"/>
                <w:highlight w:val="none"/>
                <w:lang w:val="en-US" w:eastAsia="zh-CN"/>
              </w:rPr>
              <w:t>N12</w:t>
            </w:r>
            <w:r>
              <w:rPr>
                <w:rFonts w:hint="eastAsia" w:hAnsi="黑体" w:eastAsia="黑体" w:cs="黑体"/>
                <w:color w:val="auto"/>
                <w:sz w:val="24"/>
                <w:highlight w:val="none"/>
                <w:lang w:eastAsia="zh-CN"/>
              </w:rPr>
              <w:t>）、空压机噪声（</w:t>
            </w:r>
            <w:r>
              <w:rPr>
                <w:rFonts w:hint="eastAsia" w:hAnsi="黑体" w:eastAsia="黑体" w:cs="黑体"/>
                <w:color w:val="auto"/>
                <w:sz w:val="24"/>
                <w:highlight w:val="none"/>
                <w:lang w:val="en-US" w:eastAsia="zh-CN"/>
              </w:rPr>
              <w:t>N13</w:t>
            </w:r>
            <w:r>
              <w:rPr>
                <w:rFonts w:hint="eastAsia" w:hAnsi="黑体" w:eastAsia="黑体" w:cs="黑体"/>
                <w:color w:val="auto"/>
                <w:sz w:val="24"/>
                <w:highlight w:val="none"/>
                <w:lang w:eastAsia="zh-CN"/>
              </w:rPr>
              <w:t>）</w:t>
            </w:r>
            <w:r>
              <w:rPr>
                <w:rFonts w:hint="eastAsia" w:hAnsi="黑体" w:eastAsia="黑体" w:cs="黑体"/>
                <w:color w:val="auto"/>
                <w:sz w:val="24"/>
                <w:highlight w:val="none"/>
              </w:rPr>
              <w:t>。</w:t>
            </w:r>
          </w:p>
          <w:p>
            <w:pPr>
              <w:spacing w:line="360" w:lineRule="auto"/>
              <w:ind w:firstLine="480"/>
              <w:rPr>
                <w:rFonts w:hint="eastAsia" w:eastAsia="宋体"/>
                <w:b/>
                <w:bCs/>
                <w:color w:val="auto"/>
                <w:sz w:val="24"/>
                <w:szCs w:val="24"/>
                <w:highlight w:val="none"/>
                <w:lang w:eastAsia="zh-CN"/>
              </w:rPr>
            </w:pPr>
            <w:r>
              <w:rPr>
                <w:rFonts w:hint="eastAsia"/>
                <w:b/>
                <w:bCs/>
                <w:color w:val="auto"/>
                <w:sz w:val="24"/>
                <w:szCs w:val="24"/>
                <w:highlight w:val="none"/>
              </w:rPr>
              <w:t>含</w:t>
            </w:r>
            <w:r>
              <w:rPr>
                <w:rFonts w:hint="eastAsia"/>
                <w:b/>
                <w:bCs/>
                <w:color w:val="auto"/>
                <w:sz w:val="24"/>
                <w:szCs w:val="24"/>
                <w:highlight w:val="none"/>
                <w:lang w:eastAsia="zh-CN"/>
              </w:rPr>
              <w:t>油</w:t>
            </w:r>
            <w:r>
              <w:rPr>
                <w:rFonts w:hint="eastAsia"/>
                <w:b/>
                <w:bCs/>
                <w:color w:val="auto"/>
                <w:sz w:val="24"/>
                <w:szCs w:val="24"/>
                <w:highlight w:val="none"/>
              </w:rPr>
              <w:t>金属屑单独收集后放入离心分离设备内，在离心力的作用下，将金属屑与</w:t>
            </w:r>
            <w:r>
              <w:rPr>
                <w:rFonts w:hint="eastAsia"/>
                <w:b/>
                <w:bCs/>
                <w:color w:val="auto"/>
                <w:sz w:val="24"/>
                <w:szCs w:val="24"/>
                <w:highlight w:val="none"/>
                <w:lang w:eastAsia="zh-CN"/>
              </w:rPr>
              <w:t>废</w:t>
            </w:r>
            <w:r>
              <w:rPr>
                <w:rFonts w:hint="eastAsia"/>
                <w:b/>
                <w:bCs/>
                <w:color w:val="auto"/>
                <w:sz w:val="24"/>
                <w:szCs w:val="24"/>
                <w:highlight w:val="none"/>
              </w:rPr>
              <w:t>切削液分开，离</w:t>
            </w:r>
            <w:r>
              <w:rPr>
                <w:rFonts w:hint="eastAsia"/>
                <w:b/>
                <w:bCs/>
                <w:color w:val="auto"/>
                <w:sz w:val="24"/>
                <w:szCs w:val="24"/>
                <w:highlight w:val="none"/>
                <w:lang w:eastAsia="zh-CN"/>
              </w:rPr>
              <w:t>心</w:t>
            </w:r>
            <w:r>
              <w:rPr>
                <w:rFonts w:hint="eastAsia"/>
                <w:b/>
                <w:bCs/>
                <w:color w:val="auto"/>
                <w:sz w:val="24"/>
                <w:szCs w:val="24"/>
                <w:highlight w:val="none"/>
              </w:rPr>
              <w:t>设备收集桶内收集的废切削液倒入回收桶内，加盖储存，可重新回用于生产，</w:t>
            </w:r>
            <w:r>
              <w:rPr>
                <w:rFonts w:hint="eastAsia"/>
                <w:b/>
                <w:bCs/>
                <w:color w:val="auto"/>
                <w:sz w:val="24"/>
                <w:szCs w:val="24"/>
                <w:highlight w:val="none"/>
                <w:lang w:eastAsia="zh-CN"/>
              </w:rPr>
              <w:t>定期更换；离心后的废金属屑袋装收集储存不落地，集中收集后外售。</w:t>
            </w:r>
          </w:p>
          <w:p>
            <w:pPr>
              <w:spacing w:line="360" w:lineRule="auto"/>
              <w:ind w:firstLine="480"/>
              <w:rPr>
                <w:color w:val="auto"/>
                <w:sz w:val="24"/>
                <w:highlight w:val="none"/>
              </w:rPr>
            </w:pPr>
            <w:r>
              <w:rPr>
                <w:rFonts w:hint="eastAsia"/>
                <w:color w:val="auto"/>
                <w:sz w:val="24"/>
                <w:highlight w:val="none"/>
                <w:lang w:eastAsia="zh-CN"/>
              </w:rPr>
              <w:t>技改项目</w:t>
            </w:r>
            <w:r>
              <w:rPr>
                <w:color w:val="auto"/>
                <w:sz w:val="24"/>
                <w:highlight w:val="none"/>
              </w:rPr>
              <w:t>工程工艺产污环节一览表见表</w:t>
            </w:r>
            <w:r>
              <w:rPr>
                <w:rFonts w:hint="eastAsia"/>
                <w:color w:val="auto"/>
                <w:sz w:val="24"/>
                <w:highlight w:val="none"/>
              </w:rPr>
              <w:t>1</w:t>
            </w:r>
            <w:r>
              <w:rPr>
                <w:rFonts w:hint="eastAsia"/>
                <w:color w:val="auto"/>
                <w:sz w:val="24"/>
                <w:highlight w:val="none"/>
                <w:lang w:val="en-US" w:eastAsia="zh-CN"/>
              </w:rPr>
              <w:t>7</w:t>
            </w:r>
            <w:r>
              <w:rPr>
                <w:color w:val="auto"/>
                <w:sz w:val="24"/>
                <w:highlight w:val="none"/>
              </w:rPr>
              <w:t>。</w:t>
            </w:r>
          </w:p>
          <w:p>
            <w:pPr>
              <w:spacing w:line="480" w:lineRule="exact"/>
              <w:jc w:val="center"/>
              <w:rPr>
                <w:rFonts w:hint="eastAsia"/>
                <w:b/>
                <w:color w:val="auto"/>
                <w:sz w:val="24"/>
                <w:highlight w:val="none"/>
              </w:rPr>
            </w:pPr>
          </w:p>
          <w:p>
            <w:pPr>
              <w:spacing w:line="480" w:lineRule="exact"/>
              <w:jc w:val="center"/>
              <w:rPr>
                <w:rFonts w:hint="eastAsia"/>
                <w:b/>
                <w:color w:val="auto"/>
                <w:sz w:val="24"/>
                <w:highlight w:val="none"/>
              </w:rPr>
            </w:pPr>
          </w:p>
          <w:p>
            <w:pPr>
              <w:spacing w:line="480" w:lineRule="exact"/>
              <w:jc w:val="center"/>
              <w:rPr>
                <w:rFonts w:hint="eastAsia"/>
                <w:b/>
                <w:color w:val="auto"/>
                <w:sz w:val="24"/>
                <w:highlight w:val="none"/>
              </w:rPr>
            </w:pPr>
          </w:p>
          <w:p>
            <w:pPr>
              <w:spacing w:line="480" w:lineRule="exact"/>
              <w:jc w:val="center"/>
              <w:rPr>
                <w:rFonts w:hint="eastAsia"/>
                <w:b/>
                <w:color w:val="auto"/>
                <w:sz w:val="24"/>
                <w:highlight w:val="none"/>
              </w:rPr>
            </w:pPr>
          </w:p>
          <w:p>
            <w:pPr>
              <w:spacing w:line="480" w:lineRule="exact"/>
              <w:jc w:val="center"/>
              <w:rPr>
                <w:rFonts w:hint="eastAsia" w:ascii="宋体" w:hAnsi="宋体" w:cs="宋体"/>
                <w:b/>
                <w:color w:val="auto"/>
                <w:sz w:val="24"/>
                <w:highlight w:val="none"/>
              </w:rPr>
            </w:pPr>
            <w:r>
              <w:rPr>
                <w:rFonts w:hint="eastAsia"/>
                <w:b/>
                <w:color w:val="auto"/>
                <w:sz w:val="24"/>
                <w:highlight w:val="none"/>
              </w:rPr>
              <w:t xml:space="preserve"> </w:t>
            </w:r>
            <w:r>
              <w:rPr>
                <w:rFonts w:hint="eastAsia" w:ascii="宋体" w:hAnsi="宋体" w:cs="宋体"/>
                <w:b/>
                <w:color w:val="auto"/>
                <w:sz w:val="24"/>
                <w:highlight w:val="none"/>
              </w:rPr>
              <w:t>表</w:t>
            </w:r>
            <w:r>
              <w:rPr>
                <w:b/>
                <w:color w:val="auto"/>
                <w:sz w:val="24"/>
                <w:highlight w:val="none"/>
              </w:rPr>
              <w:t>1</w:t>
            </w:r>
            <w:r>
              <w:rPr>
                <w:rFonts w:hint="eastAsia"/>
                <w:b/>
                <w:color w:val="auto"/>
                <w:sz w:val="24"/>
                <w:highlight w:val="none"/>
                <w:lang w:val="en-US" w:eastAsia="zh-CN"/>
              </w:rPr>
              <w:t>7</w:t>
            </w:r>
            <w:r>
              <w:rPr>
                <w:rFonts w:hint="eastAsia" w:ascii="宋体" w:hAnsi="宋体" w:cs="宋体"/>
                <w:b/>
                <w:color w:val="auto"/>
                <w:sz w:val="24"/>
                <w:highlight w:val="none"/>
              </w:rPr>
              <w:t xml:space="preserve">  </w:t>
            </w:r>
            <w:r>
              <w:rPr>
                <w:rFonts w:hint="eastAsia" w:ascii="宋体" w:hAnsi="宋体" w:cs="宋体"/>
                <w:b/>
                <w:color w:val="auto"/>
                <w:sz w:val="24"/>
                <w:highlight w:val="none"/>
                <w:lang w:eastAsia="zh-CN"/>
              </w:rPr>
              <w:t>技改项目</w:t>
            </w:r>
            <w:r>
              <w:rPr>
                <w:rFonts w:hint="eastAsia" w:ascii="宋体" w:hAnsi="宋体" w:cs="宋体"/>
                <w:b/>
                <w:color w:val="auto"/>
                <w:sz w:val="24"/>
                <w:highlight w:val="none"/>
              </w:rPr>
              <w:t>工程工艺产污环节一览表</w:t>
            </w:r>
          </w:p>
          <w:tbl>
            <w:tblPr>
              <w:tblStyle w:val="31"/>
              <w:tblW w:w="913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89"/>
              <w:gridCol w:w="682"/>
              <w:gridCol w:w="1650"/>
              <w:gridCol w:w="2491"/>
              <w:gridCol w:w="808"/>
              <w:gridCol w:w="281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noWrap w:val="0"/>
                  <w:vAlign w:val="center"/>
                </w:tcPr>
                <w:p>
                  <w:pPr>
                    <w:tabs>
                      <w:tab w:val="left" w:pos="2604"/>
                    </w:tabs>
                    <w:jc w:val="center"/>
                    <w:rPr>
                      <w:color w:val="auto"/>
                      <w:szCs w:val="21"/>
                      <w:highlight w:val="none"/>
                    </w:rPr>
                  </w:pPr>
                  <w:r>
                    <w:rPr>
                      <w:color w:val="auto"/>
                      <w:szCs w:val="21"/>
                      <w:highlight w:val="none"/>
                    </w:rPr>
                    <w:t>污染类型</w:t>
                  </w:r>
                </w:p>
              </w:tc>
              <w:tc>
                <w:tcPr>
                  <w:tcW w:w="682" w:type="dxa"/>
                  <w:noWrap w:val="0"/>
                  <w:vAlign w:val="center"/>
                </w:tcPr>
                <w:p>
                  <w:pPr>
                    <w:tabs>
                      <w:tab w:val="left" w:pos="2604"/>
                    </w:tabs>
                    <w:jc w:val="center"/>
                    <w:rPr>
                      <w:color w:val="auto"/>
                      <w:szCs w:val="21"/>
                      <w:highlight w:val="none"/>
                    </w:rPr>
                  </w:pPr>
                  <w:r>
                    <w:rPr>
                      <w:color w:val="auto"/>
                      <w:szCs w:val="21"/>
                      <w:highlight w:val="none"/>
                    </w:rPr>
                    <w:t>序号</w:t>
                  </w:r>
                </w:p>
              </w:tc>
              <w:tc>
                <w:tcPr>
                  <w:tcW w:w="1650" w:type="dxa"/>
                  <w:noWrap w:val="0"/>
                  <w:vAlign w:val="center"/>
                </w:tcPr>
                <w:p>
                  <w:pPr>
                    <w:tabs>
                      <w:tab w:val="left" w:pos="2604"/>
                    </w:tabs>
                    <w:jc w:val="center"/>
                    <w:rPr>
                      <w:color w:val="auto"/>
                      <w:szCs w:val="21"/>
                      <w:highlight w:val="none"/>
                    </w:rPr>
                  </w:pPr>
                  <w:r>
                    <w:rPr>
                      <w:color w:val="auto"/>
                      <w:szCs w:val="21"/>
                      <w:highlight w:val="none"/>
                    </w:rPr>
                    <w:t>排污节点</w:t>
                  </w:r>
                </w:p>
              </w:tc>
              <w:tc>
                <w:tcPr>
                  <w:tcW w:w="2491" w:type="dxa"/>
                  <w:noWrap w:val="0"/>
                  <w:vAlign w:val="center"/>
                </w:tcPr>
                <w:p>
                  <w:pPr>
                    <w:tabs>
                      <w:tab w:val="left" w:pos="2604"/>
                    </w:tabs>
                    <w:jc w:val="center"/>
                    <w:rPr>
                      <w:color w:val="auto"/>
                      <w:szCs w:val="21"/>
                      <w:highlight w:val="none"/>
                    </w:rPr>
                  </w:pPr>
                  <w:r>
                    <w:rPr>
                      <w:color w:val="auto"/>
                      <w:szCs w:val="21"/>
                      <w:highlight w:val="none"/>
                    </w:rPr>
                    <w:t>主要污染物</w:t>
                  </w:r>
                </w:p>
              </w:tc>
              <w:tc>
                <w:tcPr>
                  <w:tcW w:w="808" w:type="dxa"/>
                  <w:noWrap w:val="0"/>
                  <w:vAlign w:val="center"/>
                </w:tcPr>
                <w:p>
                  <w:pPr>
                    <w:tabs>
                      <w:tab w:val="left" w:pos="2604"/>
                    </w:tabs>
                    <w:jc w:val="center"/>
                    <w:rPr>
                      <w:color w:val="auto"/>
                      <w:szCs w:val="21"/>
                      <w:highlight w:val="none"/>
                    </w:rPr>
                  </w:pPr>
                  <w:r>
                    <w:rPr>
                      <w:color w:val="auto"/>
                      <w:szCs w:val="21"/>
                      <w:highlight w:val="none"/>
                    </w:rPr>
                    <w:t>排放特征</w:t>
                  </w:r>
                </w:p>
              </w:tc>
              <w:tc>
                <w:tcPr>
                  <w:tcW w:w="2814" w:type="dxa"/>
                  <w:noWrap w:val="0"/>
                  <w:vAlign w:val="center"/>
                </w:tcPr>
                <w:p>
                  <w:pPr>
                    <w:tabs>
                      <w:tab w:val="left" w:pos="2604"/>
                    </w:tabs>
                    <w:jc w:val="center"/>
                    <w:rPr>
                      <w:color w:val="auto"/>
                      <w:szCs w:val="21"/>
                      <w:highlight w:val="none"/>
                    </w:rPr>
                  </w:pPr>
                  <w:r>
                    <w:rPr>
                      <w:color w:val="auto"/>
                      <w:szCs w:val="21"/>
                      <w:highlight w:val="none"/>
                    </w:rPr>
                    <w:t>治理措施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restart"/>
                  <w:noWrap w:val="0"/>
                  <w:vAlign w:val="center"/>
                </w:tcPr>
                <w:p>
                  <w:pPr>
                    <w:tabs>
                      <w:tab w:val="left" w:pos="2604"/>
                    </w:tabs>
                    <w:jc w:val="center"/>
                    <w:rPr>
                      <w:color w:val="auto"/>
                      <w:szCs w:val="21"/>
                      <w:highlight w:val="none"/>
                    </w:rPr>
                  </w:pPr>
                  <w:r>
                    <w:rPr>
                      <w:color w:val="auto"/>
                      <w:szCs w:val="21"/>
                      <w:highlight w:val="none"/>
                    </w:rPr>
                    <w:t>废气</w:t>
                  </w:r>
                </w:p>
              </w:tc>
              <w:tc>
                <w:tcPr>
                  <w:tcW w:w="682" w:type="dxa"/>
                  <w:noWrap w:val="0"/>
                  <w:vAlign w:val="center"/>
                </w:tcPr>
                <w:p>
                  <w:pPr>
                    <w:tabs>
                      <w:tab w:val="left" w:pos="2604"/>
                    </w:tabs>
                    <w:jc w:val="center"/>
                    <w:rPr>
                      <w:color w:val="auto"/>
                      <w:szCs w:val="21"/>
                      <w:highlight w:val="none"/>
                    </w:rPr>
                  </w:pPr>
                  <w:r>
                    <w:rPr>
                      <w:color w:val="auto"/>
                      <w:szCs w:val="21"/>
                      <w:highlight w:val="none"/>
                    </w:rPr>
                    <w:t>G1</w:t>
                  </w:r>
                </w:p>
              </w:tc>
              <w:tc>
                <w:tcPr>
                  <w:tcW w:w="1650" w:type="dxa"/>
                  <w:noWrap w:val="0"/>
                  <w:vAlign w:val="center"/>
                </w:tcPr>
                <w:p>
                  <w:pPr>
                    <w:tabs>
                      <w:tab w:val="left" w:pos="2604"/>
                    </w:tabs>
                    <w:jc w:val="center"/>
                    <w:rPr>
                      <w:color w:val="auto"/>
                      <w:szCs w:val="21"/>
                      <w:highlight w:val="none"/>
                    </w:rPr>
                  </w:pPr>
                  <w:r>
                    <w:rPr>
                      <w:rFonts w:hint="eastAsia"/>
                      <w:color w:val="auto"/>
                      <w:szCs w:val="21"/>
                      <w:highlight w:val="none"/>
                      <w:lang w:val="en-US" w:eastAsia="zh-CN"/>
                    </w:rPr>
                    <w:t>数控火焰切割机</w:t>
                  </w:r>
                </w:p>
              </w:tc>
              <w:tc>
                <w:tcPr>
                  <w:tcW w:w="2491" w:type="dxa"/>
                  <w:noWrap w:val="0"/>
                  <w:vAlign w:val="center"/>
                </w:tcPr>
                <w:p>
                  <w:pPr>
                    <w:tabs>
                      <w:tab w:val="left" w:pos="2604"/>
                    </w:tabs>
                    <w:jc w:val="center"/>
                    <w:rPr>
                      <w:color w:val="auto"/>
                      <w:szCs w:val="21"/>
                      <w:highlight w:val="none"/>
                    </w:rPr>
                  </w:pPr>
                  <w:r>
                    <w:rPr>
                      <w:color w:val="auto"/>
                      <w:szCs w:val="21"/>
                      <w:highlight w:val="none"/>
                    </w:rPr>
                    <w:t>颗粒物</w:t>
                  </w:r>
                </w:p>
              </w:tc>
              <w:tc>
                <w:tcPr>
                  <w:tcW w:w="808" w:type="dxa"/>
                  <w:noWrap w:val="0"/>
                  <w:vAlign w:val="center"/>
                </w:tcPr>
                <w:p>
                  <w:pPr>
                    <w:tabs>
                      <w:tab w:val="left" w:pos="2604"/>
                    </w:tabs>
                    <w:jc w:val="center"/>
                    <w:rPr>
                      <w:color w:val="auto"/>
                      <w:szCs w:val="21"/>
                      <w:highlight w:val="none"/>
                    </w:rPr>
                  </w:pPr>
                  <w:r>
                    <w:rPr>
                      <w:color w:val="auto"/>
                      <w:szCs w:val="21"/>
                      <w:highlight w:val="none"/>
                    </w:rPr>
                    <w:t>间断</w:t>
                  </w:r>
                </w:p>
              </w:tc>
              <w:tc>
                <w:tcPr>
                  <w:tcW w:w="2814" w:type="dxa"/>
                  <w:noWrap w:val="0"/>
                  <w:vAlign w:val="center"/>
                </w:tcPr>
                <w:p>
                  <w:pPr>
                    <w:tabs>
                      <w:tab w:val="left" w:pos="2604"/>
                    </w:tabs>
                    <w:jc w:val="center"/>
                    <w:rPr>
                      <w:rFonts w:hint="default" w:eastAsia="宋体"/>
                      <w:color w:val="auto"/>
                      <w:szCs w:val="21"/>
                      <w:highlight w:val="none"/>
                      <w:lang w:val="en-US" w:eastAsia="zh-CN"/>
                    </w:rPr>
                  </w:pPr>
                  <w:r>
                    <w:rPr>
                      <w:rFonts w:hint="eastAsia"/>
                      <w:color w:val="auto"/>
                      <w:szCs w:val="21"/>
                      <w:highlight w:val="none"/>
                      <w:lang w:eastAsia="zh-CN"/>
                    </w:rPr>
                    <w:t>布袋除尘器</w:t>
                  </w:r>
                  <w:r>
                    <w:rPr>
                      <w:rFonts w:hint="eastAsia"/>
                      <w:color w:val="auto"/>
                      <w:szCs w:val="21"/>
                      <w:highlight w:val="none"/>
                      <w:lang w:val="en-US" w:eastAsia="zh-CN"/>
                    </w:rPr>
                    <w:t>+15m高排气筒</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eastAsia="宋体"/>
                      <w:color w:val="auto"/>
                      <w:szCs w:val="21"/>
                      <w:highlight w:val="none"/>
                      <w:lang w:val="en-US" w:eastAsia="zh-CN"/>
                    </w:rPr>
                  </w:pPr>
                  <w:r>
                    <w:rPr>
                      <w:rFonts w:hint="eastAsia"/>
                      <w:color w:val="auto"/>
                      <w:szCs w:val="21"/>
                      <w:highlight w:val="none"/>
                      <w:lang w:val="en-US" w:eastAsia="zh-CN"/>
                    </w:rPr>
                    <w:t>G2</w:t>
                  </w:r>
                </w:p>
              </w:tc>
              <w:tc>
                <w:tcPr>
                  <w:tcW w:w="1650" w:type="dxa"/>
                  <w:noWrap w:val="0"/>
                  <w:vAlign w:val="center"/>
                </w:tcPr>
                <w:p>
                  <w:pPr>
                    <w:tabs>
                      <w:tab w:val="left" w:pos="2604"/>
                    </w:tabs>
                    <w:jc w:val="center"/>
                    <w:rPr>
                      <w:rFonts w:hint="eastAsia"/>
                      <w:color w:val="auto"/>
                      <w:szCs w:val="21"/>
                      <w:highlight w:val="none"/>
                      <w:lang w:val="en-US" w:eastAsia="zh-CN"/>
                    </w:rPr>
                  </w:pPr>
                  <w:r>
                    <w:rPr>
                      <w:rFonts w:hint="eastAsia"/>
                      <w:color w:val="auto"/>
                      <w:szCs w:val="21"/>
                      <w:highlight w:val="none"/>
                      <w:lang w:val="en-US" w:eastAsia="zh-CN"/>
                    </w:rPr>
                    <w:t>自制抛光机</w:t>
                  </w:r>
                </w:p>
              </w:tc>
              <w:tc>
                <w:tcPr>
                  <w:tcW w:w="2491" w:type="dxa"/>
                  <w:noWrap w:val="0"/>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颗粒物</w:t>
                  </w:r>
                </w:p>
              </w:tc>
              <w:tc>
                <w:tcPr>
                  <w:tcW w:w="808" w:type="dxa"/>
                  <w:noWrap w:val="0"/>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间断</w:t>
                  </w:r>
                </w:p>
              </w:tc>
              <w:tc>
                <w:tcPr>
                  <w:tcW w:w="2814" w:type="dxa"/>
                  <w:noWrap w:val="0"/>
                  <w:vAlign w:val="center"/>
                </w:tcPr>
                <w:p>
                  <w:pPr>
                    <w:tabs>
                      <w:tab w:val="left" w:pos="2604"/>
                    </w:tabs>
                    <w:jc w:val="center"/>
                    <w:rPr>
                      <w:rFonts w:hint="eastAsia"/>
                      <w:color w:val="auto"/>
                      <w:szCs w:val="21"/>
                      <w:highlight w:val="none"/>
                      <w:lang w:eastAsia="zh-CN"/>
                    </w:rPr>
                  </w:pPr>
                  <w:r>
                    <w:rPr>
                      <w:rFonts w:hint="eastAsia"/>
                      <w:color w:val="auto"/>
                      <w:szCs w:val="21"/>
                      <w:highlight w:val="none"/>
                      <w:lang w:eastAsia="zh-CN"/>
                    </w:rPr>
                    <w:t>三面围挡</w:t>
                  </w:r>
                  <w:r>
                    <w:rPr>
                      <w:rFonts w:hint="eastAsia"/>
                      <w:color w:val="auto"/>
                      <w:szCs w:val="21"/>
                      <w:highlight w:val="none"/>
                      <w:lang w:val="en-US" w:eastAsia="zh-CN"/>
                    </w:rPr>
                    <w:t>+</w:t>
                  </w:r>
                  <w:r>
                    <w:rPr>
                      <w:rFonts w:hint="eastAsia"/>
                      <w:color w:val="auto"/>
                      <w:szCs w:val="21"/>
                      <w:highlight w:val="none"/>
                      <w:lang w:eastAsia="zh-CN"/>
                    </w:rPr>
                    <w:t>布袋除尘器</w:t>
                  </w:r>
                  <w:r>
                    <w:rPr>
                      <w:rFonts w:hint="eastAsia"/>
                      <w:color w:val="auto"/>
                      <w:szCs w:val="21"/>
                      <w:highlight w:val="none"/>
                      <w:lang w:val="en-US" w:eastAsia="zh-CN"/>
                    </w:rPr>
                    <w:t>+15m高排气筒</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restart"/>
                  <w:noWrap w:val="0"/>
                  <w:vAlign w:val="center"/>
                </w:tcPr>
                <w:p>
                  <w:pPr>
                    <w:tabs>
                      <w:tab w:val="left" w:pos="2604"/>
                    </w:tabs>
                    <w:jc w:val="center"/>
                    <w:rPr>
                      <w:color w:val="auto"/>
                      <w:szCs w:val="21"/>
                      <w:highlight w:val="none"/>
                    </w:rPr>
                  </w:pPr>
                  <w:r>
                    <w:rPr>
                      <w:color w:val="auto"/>
                      <w:szCs w:val="21"/>
                      <w:highlight w:val="none"/>
                    </w:rPr>
                    <w:t>噪声</w:t>
                  </w:r>
                </w:p>
              </w:tc>
              <w:tc>
                <w:tcPr>
                  <w:tcW w:w="682" w:type="dxa"/>
                  <w:noWrap w:val="0"/>
                  <w:vAlign w:val="center"/>
                </w:tcPr>
                <w:p>
                  <w:pPr>
                    <w:tabs>
                      <w:tab w:val="left" w:pos="2604"/>
                    </w:tabs>
                    <w:jc w:val="center"/>
                    <w:rPr>
                      <w:color w:val="auto"/>
                      <w:szCs w:val="21"/>
                      <w:highlight w:val="none"/>
                    </w:rPr>
                  </w:pPr>
                  <w:r>
                    <w:rPr>
                      <w:color w:val="auto"/>
                      <w:szCs w:val="21"/>
                      <w:highlight w:val="none"/>
                    </w:rPr>
                    <w:t>N1</w:t>
                  </w:r>
                </w:p>
              </w:tc>
              <w:tc>
                <w:tcPr>
                  <w:tcW w:w="1650" w:type="dxa"/>
                  <w:noWrap w:val="0"/>
                  <w:vAlign w:val="center"/>
                </w:tcPr>
                <w:p>
                  <w:pPr>
                    <w:tabs>
                      <w:tab w:val="left" w:pos="2604"/>
                    </w:tabs>
                    <w:jc w:val="center"/>
                    <w:rPr>
                      <w:color w:val="auto"/>
                      <w:szCs w:val="21"/>
                      <w:highlight w:val="none"/>
                    </w:rPr>
                  </w:pPr>
                  <w:r>
                    <w:rPr>
                      <w:rFonts w:hint="eastAsia"/>
                      <w:color w:val="auto"/>
                      <w:szCs w:val="21"/>
                      <w:highlight w:val="none"/>
                      <w:lang w:val="en-US" w:eastAsia="zh-CN"/>
                    </w:rPr>
                    <w:t>数控火焰切割机</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restart"/>
                  <w:noWrap w:val="0"/>
                  <w:vAlign w:val="center"/>
                </w:tcPr>
                <w:p>
                  <w:pPr>
                    <w:tabs>
                      <w:tab w:val="left" w:pos="2604"/>
                    </w:tabs>
                    <w:jc w:val="center"/>
                    <w:rPr>
                      <w:color w:val="auto"/>
                      <w:szCs w:val="21"/>
                      <w:highlight w:val="none"/>
                    </w:rPr>
                  </w:pPr>
                  <w:r>
                    <w:rPr>
                      <w:color w:val="auto"/>
                      <w:szCs w:val="21"/>
                      <w:highlight w:val="none"/>
                    </w:rPr>
                    <w:t>厂房隔声、基础减振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color w:val="auto"/>
                      <w:szCs w:val="21"/>
                      <w:highlight w:val="none"/>
                    </w:rPr>
                  </w:pPr>
                  <w:r>
                    <w:rPr>
                      <w:color w:val="auto"/>
                      <w:szCs w:val="21"/>
                      <w:highlight w:val="none"/>
                    </w:rPr>
                    <w:t>N2</w:t>
                  </w:r>
                </w:p>
              </w:tc>
              <w:tc>
                <w:tcPr>
                  <w:tcW w:w="1650" w:type="dxa"/>
                  <w:noWrap w:val="0"/>
                  <w:vAlign w:val="center"/>
                </w:tcPr>
                <w:p>
                  <w:pPr>
                    <w:tabs>
                      <w:tab w:val="left" w:pos="2604"/>
                    </w:tabs>
                    <w:jc w:val="center"/>
                    <w:rPr>
                      <w:color w:val="auto"/>
                      <w:szCs w:val="21"/>
                      <w:highlight w:val="none"/>
                    </w:rPr>
                  </w:pPr>
                  <w:r>
                    <w:rPr>
                      <w:rFonts w:hint="eastAsia"/>
                      <w:color w:val="auto"/>
                      <w:szCs w:val="21"/>
                      <w:highlight w:val="none"/>
                      <w:lang w:eastAsia="zh-CN"/>
                    </w:rPr>
                    <w:t>锯床</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color w:val="auto"/>
                      <w:szCs w:val="21"/>
                      <w:highlight w:val="none"/>
                    </w:rPr>
                  </w:pPr>
                  <w:r>
                    <w:rPr>
                      <w:color w:val="auto"/>
                      <w:szCs w:val="21"/>
                      <w:highlight w:val="none"/>
                    </w:rPr>
                    <w:t>N3</w:t>
                  </w:r>
                </w:p>
              </w:tc>
              <w:tc>
                <w:tcPr>
                  <w:tcW w:w="1650" w:type="dxa"/>
                  <w:noWrap w:val="0"/>
                  <w:vAlign w:val="center"/>
                </w:tcPr>
                <w:p>
                  <w:pPr>
                    <w:tabs>
                      <w:tab w:val="left" w:pos="2604"/>
                    </w:tabs>
                    <w:jc w:val="center"/>
                    <w:rPr>
                      <w:color w:val="auto"/>
                      <w:szCs w:val="21"/>
                      <w:highlight w:val="none"/>
                    </w:rPr>
                  </w:pPr>
                  <w:r>
                    <w:rPr>
                      <w:rFonts w:hint="eastAsia"/>
                      <w:color w:val="auto"/>
                      <w:szCs w:val="21"/>
                      <w:highlight w:val="none"/>
                      <w:lang w:eastAsia="zh-CN"/>
                    </w:rPr>
                    <w:t>卷板机</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color w:val="auto"/>
                      <w:szCs w:val="21"/>
                      <w:highlight w:val="none"/>
                    </w:rPr>
                  </w:pPr>
                  <w:r>
                    <w:rPr>
                      <w:color w:val="auto"/>
                      <w:szCs w:val="21"/>
                      <w:highlight w:val="none"/>
                    </w:rPr>
                    <w:t>N4</w:t>
                  </w:r>
                </w:p>
              </w:tc>
              <w:tc>
                <w:tcPr>
                  <w:tcW w:w="1650" w:type="dxa"/>
                  <w:noWrap w:val="0"/>
                  <w:vAlign w:val="center"/>
                </w:tcPr>
                <w:p>
                  <w:pPr>
                    <w:tabs>
                      <w:tab w:val="left" w:pos="2604"/>
                    </w:tabs>
                    <w:jc w:val="center"/>
                    <w:rPr>
                      <w:color w:val="auto"/>
                      <w:szCs w:val="21"/>
                      <w:highlight w:val="none"/>
                    </w:rPr>
                  </w:pPr>
                  <w:r>
                    <w:rPr>
                      <w:rFonts w:hint="eastAsia"/>
                      <w:color w:val="auto"/>
                      <w:szCs w:val="21"/>
                      <w:highlight w:val="none"/>
                      <w:lang w:eastAsia="zh-CN"/>
                    </w:rPr>
                    <w:t>加工中心</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color w:val="auto"/>
                      <w:szCs w:val="21"/>
                      <w:highlight w:val="none"/>
                    </w:rPr>
                  </w:pPr>
                  <w:r>
                    <w:rPr>
                      <w:color w:val="auto"/>
                      <w:szCs w:val="21"/>
                      <w:highlight w:val="none"/>
                    </w:rPr>
                    <w:t>N5</w:t>
                  </w:r>
                </w:p>
              </w:tc>
              <w:tc>
                <w:tcPr>
                  <w:tcW w:w="1650" w:type="dxa"/>
                  <w:noWrap w:val="0"/>
                  <w:vAlign w:val="center"/>
                </w:tcPr>
                <w:p>
                  <w:pPr>
                    <w:tabs>
                      <w:tab w:val="left" w:pos="2604"/>
                    </w:tabs>
                    <w:jc w:val="center"/>
                    <w:rPr>
                      <w:color w:val="auto"/>
                      <w:szCs w:val="21"/>
                      <w:highlight w:val="none"/>
                      <w:lang w:val="en-US" w:eastAsia="zh-CN"/>
                    </w:rPr>
                  </w:pPr>
                  <w:r>
                    <w:rPr>
                      <w:rFonts w:hint="eastAsia"/>
                      <w:color w:val="auto"/>
                      <w:szCs w:val="21"/>
                      <w:highlight w:val="none"/>
                      <w:lang w:eastAsia="zh-CN"/>
                    </w:rPr>
                    <w:t>车床</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eastAsia="宋体"/>
                      <w:color w:val="auto"/>
                      <w:szCs w:val="21"/>
                      <w:highlight w:val="none"/>
                      <w:lang w:val="en-US" w:eastAsia="zh-CN"/>
                    </w:rPr>
                  </w:pPr>
                  <w:r>
                    <w:rPr>
                      <w:rFonts w:hint="eastAsia"/>
                      <w:color w:val="auto"/>
                      <w:szCs w:val="21"/>
                      <w:highlight w:val="none"/>
                      <w:lang w:val="en-US" w:eastAsia="zh-CN"/>
                    </w:rPr>
                    <w:t>N6</w:t>
                  </w:r>
                </w:p>
              </w:tc>
              <w:tc>
                <w:tcPr>
                  <w:tcW w:w="1650" w:type="dxa"/>
                  <w:noWrap w:val="0"/>
                  <w:vAlign w:val="center"/>
                </w:tcPr>
                <w:p>
                  <w:pPr>
                    <w:tabs>
                      <w:tab w:val="left" w:pos="2604"/>
                    </w:tabs>
                    <w:jc w:val="center"/>
                    <w:rPr>
                      <w:color w:val="auto"/>
                      <w:szCs w:val="21"/>
                      <w:highlight w:val="none"/>
                      <w:lang w:val="en-US" w:eastAsia="zh-CN"/>
                    </w:rPr>
                  </w:pPr>
                  <w:r>
                    <w:rPr>
                      <w:rFonts w:hint="eastAsia"/>
                      <w:color w:val="auto"/>
                      <w:szCs w:val="21"/>
                      <w:highlight w:val="none"/>
                      <w:lang w:eastAsia="zh-CN"/>
                    </w:rPr>
                    <w:t>钻床</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eastAsia="宋体"/>
                      <w:color w:val="auto"/>
                      <w:szCs w:val="21"/>
                      <w:highlight w:val="none"/>
                      <w:lang w:val="en-US" w:eastAsia="zh-CN"/>
                    </w:rPr>
                  </w:pPr>
                  <w:r>
                    <w:rPr>
                      <w:rFonts w:hint="eastAsia"/>
                      <w:color w:val="auto"/>
                      <w:szCs w:val="21"/>
                      <w:highlight w:val="none"/>
                      <w:lang w:val="en-US" w:eastAsia="zh-CN"/>
                    </w:rPr>
                    <w:t>N7</w:t>
                  </w:r>
                </w:p>
              </w:tc>
              <w:tc>
                <w:tcPr>
                  <w:tcW w:w="1650" w:type="dxa"/>
                  <w:noWrap w:val="0"/>
                  <w:vAlign w:val="center"/>
                </w:tcPr>
                <w:p>
                  <w:pPr>
                    <w:tabs>
                      <w:tab w:val="left" w:pos="2604"/>
                    </w:tabs>
                    <w:jc w:val="center"/>
                    <w:rPr>
                      <w:color w:val="auto"/>
                      <w:szCs w:val="21"/>
                      <w:highlight w:val="none"/>
                      <w:lang w:val="en-US" w:eastAsia="zh-CN"/>
                    </w:rPr>
                  </w:pPr>
                  <w:r>
                    <w:rPr>
                      <w:rFonts w:hint="eastAsia"/>
                      <w:color w:val="auto"/>
                      <w:szCs w:val="21"/>
                      <w:highlight w:val="none"/>
                      <w:lang w:eastAsia="zh-CN"/>
                    </w:rPr>
                    <w:t>磨床</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eastAsia="宋体"/>
                      <w:color w:val="auto"/>
                      <w:szCs w:val="21"/>
                      <w:highlight w:val="none"/>
                      <w:lang w:val="en-US" w:eastAsia="zh-CN"/>
                    </w:rPr>
                  </w:pPr>
                  <w:r>
                    <w:rPr>
                      <w:rFonts w:hint="eastAsia"/>
                      <w:color w:val="auto"/>
                      <w:szCs w:val="21"/>
                      <w:highlight w:val="none"/>
                      <w:lang w:val="en-US" w:eastAsia="zh-CN"/>
                    </w:rPr>
                    <w:t>N8</w:t>
                  </w:r>
                </w:p>
              </w:tc>
              <w:tc>
                <w:tcPr>
                  <w:tcW w:w="1650" w:type="dxa"/>
                  <w:noWrap w:val="0"/>
                  <w:vAlign w:val="center"/>
                </w:tcPr>
                <w:p>
                  <w:pPr>
                    <w:tabs>
                      <w:tab w:val="left" w:pos="2604"/>
                    </w:tabs>
                    <w:jc w:val="center"/>
                    <w:rPr>
                      <w:color w:val="auto"/>
                      <w:szCs w:val="21"/>
                      <w:highlight w:val="none"/>
                      <w:lang w:val="en-US" w:eastAsia="zh-CN"/>
                    </w:rPr>
                  </w:pPr>
                  <w:r>
                    <w:rPr>
                      <w:rFonts w:hint="eastAsia"/>
                      <w:color w:val="auto"/>
                      <w:szCs w:val="21"/>
                      <w:highlight w:val="none"/>
                      <w:lang w:eastAsia="zh-CN"/>
                    </w:rPr>
                    <w:t>镗床</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N9</w:t>
                  </w:r>
                </w:p>
              </w:tc>
              <w:tc>
                <w:tcPr>
                  <w:tcW w:w="1650" w:type="dxa"/>
                  <w:noWrap w:val="0"/>
                  <w:vAlign w:val="center"/>
                </w:tcPr>
                <w:p>
                  <w:pPr>
                    <w:tabs>
                      <w:tab w:val="left" w:pos="2604"/>
                    </w:tabs>
                    <w:jc w:val="center"/>
                    <w:rPr>
                      <w:rFonts w:hint="eastAsia"/>
                      <w:color w:val="auto"/>
                      <w:szCs w:val="21"/>
                      <w:highlight w:val="none"/>
                      <w:lang w:eastAsia="zh-CN"/>
                    </w:rPr>
                  </w:pPr>
                  <w:r>
                    <w:rPr>
                      <w:rFonts w:hint="eastAsia"/>
                      <w:color w:val="auto"/>
                      <w:szCs w:val="21"/>
                      <w:highlight w:val="none"/>
                      <w:lang w:eastAsia="zh-CN"/>
                    </w:rPr>
                    <w:t>铣床</w:t>
                  </w:r>
                </w:p>
              </w:tc>
              <w:tc>
                <w:tcPr>
                  <w:tcW w:w="2491" w:type="dxa"/>
                  <w:noWrap w:val="0"/>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噪声</w:t>
                  </w:r>
                </w:p>
              </w:tc>
              <w:tc>
                <w:tcPr>
                  <w:tcW w:w="808" w:type="dxa"/>
                  <w:noWrap w:val="0"/>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N10</w:t>
                  </w:r>
                </w:p>
              </w:tc>
              <w:tc>
                <w:tcPr>
                  <w:tcW w:w="1650" w:type="dxa"/>
                  <w:noWrap w:val="0"/>
                  <w:vAlign w:val="center"/>
                </w:tcPr>
                <w:p>
                  <w:pPr>
                    <w:tabs>
                      <w:tab w:val="left" w:pos="2604"/>
                    </w:tabs>
                    <w:jc w:val="center"/>
                    <w:rPr>
                      <w:rFonts w:hint="eastAsia"/>
                      <w:color w:val="auto"/>
                      <w:szCs w:val="21"/>
                      <w:highlight w:val="none"/>
                      <w:lang w:eastAsia="zh-CN"/>
                    </w:rPr>
                  </w:pPr>
                  <w:r>
                    <w:rPr>
                      <w:rFonts w:hint="eastAsia"/>
                      <w:color w:val="auto"/>
                      <w:szCs w:val="21"/>
                      <w:highlight w:val="none"/>
                      <w:lang w:val="en-US" w:eastAsia="zh-CN"/>
                    </w:rPr>
                    <w:t>自制抛光机</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N11</w:t>
                  </w:r>
                </w:p>
              </w:tc>
              <w:tc>
                <w:tcPr>
                  <w:tcW w:w="1650" w:type="dxa"/>
                  <w:noWrap w:val="0"/>
                  <w:vAlign w:val="center"/>
                </w:tcPr>
                <w:p>
                  <w:pPr>
                    <w:tabs>
                      <w:tab w:val="left" w:pos="2604"/>
                    </w:tabs>
                    <w:jc w:val="center"/>
                    <w:rPr>
                      <w:color w:val="auto"/>
                      <w:szCs w:val="21"/>
                      <w:highlight w:val="none"/>
                    </w:rPr>
                  </w:pPr>
                  <w:r>
                    <w:rPr>
                      <w:rFonts w:hint="eastAsia"/>
                      <w:color w:val="auto"/>
                      <w:szCs w:val="21"/>
                      <w:highlight w:val="none"/>
                      <w:lang w:eastAsia="zh-CN"/>
                    </w:rPr>
                    <w:t>电阻炉</w:t>
                  </w:r>
                </w:p>
              </w:tc>
              <w:tc>
                <w:tcPr>
                  <w:tcW w:w="2491" w:type="dxa"/>
                  <w:noWrap w:val="0"/>
                  <w:vAlign w:val="center"/>
                </w:tcPr>
                <w:p>
                  <w:pPr>
                    <w:tabs>
                      <w:tab w:val="left" w:pos="2604"/>
                    </w:tabs>
                    <w:jc w:val="center"/>
                    <w:rPr>
                      <w:color w:val="auto"/>
                      <w:szCs w:val="21"/>
                      <w:highlight w:val="none"/>
                    </w:rPr>
                  </w:pPr>
                  <w:r>
                    <w:rPr>
                      <w:color w:val="auto"/>
                      <w:szCs w:val="21"/>
                      <w:highlight w:val="none"/>
                    </w:rPr>
                    <w:t>噪声</w:t>
                  </w:r>
                </w:p>
              </w:tc>
              <w:tc>
                <w:tcPr>
                  <w:tcW w:w="808" w:type="dxa"/>
                  <w:noWrap w:val="0"/>
                  <w:vAlign w:val="center"/>
                </w:tcPr>
                <w:p>
                  <w:pPr>
                    <w:tabs>
                      <w:tab w:val="left" w:pos="2604"/>
                    </w:tabs>
                    <w:jc w:val="center"/>
                    <w:rPr>
                      <w:color w:val="auto"/>
                      <w:szCs w:val="21"/>
                      <w:highlight w:val="none"/>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color w:val="auto"/>
                      <w:szCs w:val="21"/>
                      <w:highlight w:val="none"/>
                      <w:lang w:val="en-US" w:eastAsia="zh-CN"/>
                    </w:rPr>
                  </w:pPr>
                  <w:r>
                    <w:rPr>
                      <w:rFonts w:hint="eastAsia"/>
                      <w:color w:val="auto"/>
                      <w:szCs w:val="21"/>
                      <w:highlight w:val="none"/>
                      <w:lang w:val="en-US" w:eastAsia="zh-CN"/>
                    </w:rPr>
                    <w:t>N12</w:t>
                  </w:r>
                </w:p>
              </w:tc>
              <w:tc>
                <w:tcPr>
                  <w:tcW w:w="1650" w:type="dxa"/>
                  <w:noWrap w:val="0"/>
                  <w:vAlign w:val="center"/>
                </w:tcPr>
                <w:p>
                  <w:pPr>
                    <w:tabs>
                      <w:tab w:val="left" w:pos="2604"/>
                    </w:tabs>
                    <w:jc w:val="center"/>
                    <w:rPr>
                      <w:rFonts w:hint="eastAsia"/>
                      <w:color w:val="auto"/>
                      <w:szCs w:val="21"/>
                      <w:highlight w:val="none"/>
                      <w:lang w:eastAsia="zh-CN"/>
                    </w:rPr>
                  </w:pPr>
                  <w:r>
                    <w:rPr>
                      <w:rFonts w:hint="eastAsia"/>
                      <w:color w:val="auto"/>
                      <w:szCs w:val="21"/>
                      <w:highlight w:val="none"/>
                      <w:lang w:eastAsia="zh-CN"/>
                    </w:rPr>
                    <w:t>风机</w:t>
                  </w:r>
                </w:p>
              </w:tc>
              <w:tc>
                <w:tcPr>
                  <w:tcW w:w="2491" w:type="dxa"/>
                  <w:noWrap w:val="0"/>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噪声</w:t>
                  </w:r>
                </w:p>
              </w:tc>
              <w:tc>
                <w:tcPr>
                  <w:tcW w:w="808" w:type="dxa"/>
                  <w:noWrap w:val="0"/>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color w:val="auto"/>
                      <w:szCs w:val="21"/>
                      <w:highlight w:val="none"/>
                      <w:lang w:val="en-US" w:eastAsia="zh-CN"/>
                    </w:rPr>
                  </w:pPr>
                  <w:r>
                    <w:rPr>
                      <w:rFonts w:hint="eastAsia"/>
                      <w:color w:val="auto"/>
                      <w:szCs w:val="21"/>
                      <w:highlight w:val="none"/>
                      <w:lang w:val="en-US" w:eastAsia="zh-CN"/>
                    </w:rPr>
                    <w:t>N13</w:t>
                  </w:r>
                </w:p>
              </w:tc>
              <w:tc>
                <w:tcPr>
                  <w:tcW w:w="1650" w:type="dxa"/>
                  <w:noWrap w:val="0"/>
                  <w:vAlign w:val="center"/>
                </w:tcPr>
                <w:p>
                  <w:pPr>
                    <w:tabs>
                      <w:tab w:val="left" w:pos="2604"/>
                    </w:tabs>
                    <w:jc w:val="center"/>
                    <w:rPr>
                      <w:rFonts w:hint="eastAsia"/>
                      <w:color w:val="auto"/>
                      <w:szCs w:val="21"/>
                      <w:highlight w:val="none"/>
                      <w:lang w:eastAsia="zh-CN"/>
                    </w:rPr>
                  </w:pPr>
                  <w:r>
                    <w:rPr>
                      <w:rFonts w:hint="eastAsia"/>
                      <w:color w:val="auto"/>
                      <w:szCs w:val="21"/>
                      <w:highlight w:val="none"/>
                      <w:lang w:eastAsia="zh-CN"/>
                    </w:rPr>
                    <w:t>空压机</w:t>
                  </w:r>
                </w:p>
              </w:tc>
              <w:tc>
                <w:tcPr>
                  <w:tcW w:w="2491" w:type="dxa"/>
                  <w:noWrap w:val="0"/>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噪声</w:t>
                  </w:r>
                </w:p>
              </w:tc>
              <w:tc>
                <w:tcPr>
                  <w:tcW w:w="808" w:type="dxa"/>
                  <w:noWrap w:val="0"/>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连续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restart"/>
                  <w:noWrap w:val="0"/>
                  <w:vAlign w:val="center"/>
                </w:tcPr>
                <w:p>
                  <w:pPr>
                    <w:tabs>
                      <w:tab w:val="left" w:pos="2604"/>
                    </w:tabs>
                    <w:jc w:val="center"/>
                    <w:rPr>
                      <w:color w:val="auto"/>
                      <w:szCs w:val="21"/>
                      <w:highlight w:val="none"/>
                    </w:rPr>
                  </w:pPr>
                  <w:r>
                    <w:rPr>
                      <w:color w:val="auto"/>
                      <w:szCs w:val="21"/>
                      <w:highlight w:val="none"/>
                    </w:rPr>
                    <w:t>固体废物</w:t>
                  </w:r>
                </w:p>
              </w:tc>
              <w:tc>
                <w:tcPr>
                  <w:tcW w:w="682" w:type="dxa"/>
                  <w:noWrap w:val="0"/>
                  <w:vAlign w:val="center"/>
                </w:tcPr>
                <w:p>
                  <w:pPr>
                    <w:tabs>
                      <w:tab w:val="left" w:pos="2604"/>
                    </w:tabs>
                    <w:jc w:val="center"/>
                    <w:rPr>
                      <w:color w:val="auto"/>
                      <w:szCs w:val="21"/>
                      <w:highlight w:val="none"/>
                    </w:rPr>
                  </w:pPr>
                  <w:r>
                    <w:rPr>
                      <w:color w:val="auto"/>
                      <w:szCs w:val="21"/>
                      <w:highlight w:val="none"/>
                    </w:rPr>
                    <w:t>S1</w:t>
                  </w:r>
                </w:p>
              </w:tc>
              <w:tc>
                <w:tcPr>
                  <w:tcW w:w="1650" w:type="dxa"/>
                  <w:noWrap w:val="0"/>
                  <w:vAlign w:val="center"/>
                </w:tcPr>
                <w:p>
                  <w:pPr>
                    <w:tabs>
                      <w:tab w:val="left" w:pos="2604"/>
                    </w:tabs>
                    <w:jc w:val="center"/>
                    <w:rPr>
                      <w:rFonts w:hint="eastAsia" w:eastAsia="宋体"/>
                      <w:color w:val="auto"/>
                      <w:szCs w:val="21"/>
                      <w:highlight w:val="none"/>
                      <w:lang w:eastAsia="zh-CN"/>
                    </w:rPr>
                  </w:pPr>
                  <w:r>
                    <w:rPr>
                      <w:color w:val="auto"/>
                      <w:szCs w:val="21"/>
                      <w:highlight w:val="none"/>
                    </w:rPr>
                    <w:t>下料、</w:t>
                  </w:r>
                  <w:r>
                    <w:rPr>
                      <w:rFonts w:hint="eastAsia"/>
                      <w:color w:val="auto"/>
                      <w:szCs w:val="21"/>
                      <w:highlight w:val="none"/>
                      <w:lang w:eastAsia="zh-CN"/>
                    </w:rPr>
                    <w:t>机加工</w:t>
                  </w:r>
                </w:p>
              </w:tc>
              <w:tc>
                <w:tcPr>
                  <w:tcW w:w="2491" w:type="dxa"/>
                  <w:noWrap w:val="0"/>
                  <w:vAlign w:val="center"/>
                </w:tcPr>
                <w:p>
                  <w:pPr>
                    <w:tabs>
                      <w:tab w:val="left" w:pos="2604"/>
                    </w:tabs>
                    <w:jc w:val="center"/>
                    <w:rPr>
                      <w:color w:val="auto"/>
                      <w:szCs w:val="21"/>
                      <w:highlight w:val="none"/>
                    </w:rPr>
                  </w:pPr>
                  <w:r>
                    <w:rPr>
                      <w:color w:val="auto"/>
                      <w:szCs w:val="21"/>
                      <w:highlight w:val="none"/>
                    </w:rPr>
                    <w:t>下脚料</w:t>
                  </w:r>
                </w:p>
              </w:tc>
              <w:tc>
                <w:tcPr>
                  <w:tcW w:w="808" w:type="dxa"/>
                  <w:vMerge w:val="restart"/>
                  <w:noWrap w:val="0"/>
                  <w:vAlign w:val="center"/>
                </w:tcPr>
                <w:p>
                  <w:pPr>
                    <w:tabs>
                      <w:tab w:val="left" w:pos="2604"/>
                    </w:tabs>
                    <w:jc w:val="center"/>
                    <w:rPr>
                      <w:color w:val="auto"/>
                      <w:szCs w:val="21"/>
                      <w:highlight w:val="none"/>
                    </w:rPr>
                  </w:pPr>
                  <w:r>
                    <w:rPr>
                      <w:color w:val="auto"/>
                      <w:szCs w:val="21"/>
                      <w:highlight w:val="none"/>
                    </w:rPr>
                    <w:t>间断</w:t>
                  </w:r>
                </w:p>
              </w:tc>
              <w:tc>
                <w:tcPr>
                  <w:tcW w:w="2814" w:type="dxa"/>
                  <w:noWrap w:val="0"/>
                  <w:vAlign w:val="center"/>
                </w:tcPr>
                <w:p>
                  <w:pPr>
                    <w:tabs>
                      <w:tab w:val="left" w:pos="2604"/>
                    </w:tabs>
                    <w:jc w:val="center"/>
                    <w:rPr>
                      <w:color w:val="auto"/>
                      <w:szCs w:val="21"/>
                      <w:highlight w:val="none"/>
                    </w:rPr>
                  </w:pPr>
                  <w:r>
                    <w:rPr>
                      <w:color w:val="auto"/>
                      <w:szCs w:val="21"/>
                      <w:highlight w:val="none"/>
                    </w:rPr>
                    <w:t>集中收集后外售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color w:val="auto"/>
                      <w:szCs w:val="21"/>
                      <w:highlight w:val="none"/>
                    </w:rPr>
                  </w:pPr>
                  <w:r>
                    <w:rPr>
                      <w:color w:val="auto"/>
                      <w:szCs w:val="21"/>
                      <w:highlight w:val="none"/>
                    </w:rPr>
                    <w:t>S2</w:t>
                  </w:r>
                </w:p>
              </w:tc>
              <w:tc>
                <w:tcPr>
                  <w:tcW w:w="1650" w:type="dxa"/>
                  <w:noWrap w:val="0"/>
                  <w:vAlign w:val="center"/>
                </w:tcPr>
                <w:p>
                  <w:pPr>
                    <w:tabs>
                      <w:tab w:val="left" w:pos="2604"/>
                    </w:tabs>
                    <w:jc w:val="center"/>
                    <w:rPr>
                      <w:rFonts w:hint="eastAsia" w:eastAsia="宋体"/>
                      <w:color w:val="auto"/>
                      <w:szCs w:val="21"/>
                      <w:highlight w:val="none"/>
                      <w:lang w:eastAsia="zh-CN"/>
                    </w:rPr>
                  </w:pPr>
                  <w:r>
                    <w:rPr>
                      <w:color w:val="auto"/>
                      <w:szCs w:val="21"/>
                      <w:highlight w:val="none"/>
                    </w:rPr>
                    <w:t>铣床</w:t>
                  </w:r>
                  <w:r>
                    <w:rPr>
                      <w:rFonts w:hint="eastAsia"/>
                      <w:color w:val="auto"/>
                      <w:szCs w:val="21"/>
                      <w:highlight w:val="none"/>
                      <w:lang w:eastAsia="zh-CN"/>
                    </w:rPr>
                    <w:t>、锯床</w:t>
                  </w:r>
                </w:p>
              </w:tc>
              <w:tc>
                <w:tcPr>
                  <w:tcW w:w="2491" w:type="dxa"/>
                  <w:noWrap w:val="0"/>
                  <w:vAlign w:val="center"/>
                </w:tcPr>
                <w:p>
                  <w:pPr>
                    <w:tabs>
                      <w:tab w:val="left" w:pos="2604"/>
                    </w:tabs>
                    <w:jc w:val="center"/>
                    <w:rPr>
                      <w:color w:val="auto"/>
                      <w:szCs w:val="21"/>
                      <w:highlight w:val="none"/>
                    </w:rPr>
                  </w:pPr>
                  <w:r>
                    <w:rPr>
                      <w:color w:val="auto"/>
                      <w:szCs w:val="21"/>
                      <w:highlight w:val="none"/>
                    </w:rPr>
                    <w:t>含油金属屑</w:t>
                  </w:r>
                </w:p>
              </w:tc>
              <w:tc>
                <w:tcPr>
                  <w:tcW w:w="808" w:type="dxa"/>
                  <w:vMerge w:val="continue"/>
                  <w:noWrap w:val="0"/>
                  <w:vAlign w:val="center"/>
                </w:tcPr>
                <w:p>
                  <w:pPr>
                    <w:tabs>
                      <w:tab w:val="left" w:pos="2604"/>
                    </w:tabs>
                    <w:jc w:val="center"/>
                    <w:rPr>
                      <w:color w:val="auto"/>
                      <w:szCs w:val="21"/>
                      <w:highlight w:val="none"/>
                    </w:rPr>
                  </w:pPr>
                </w:p>
              </w:tc>
              <w:tc>
                <w:tcPr>
                  <w:tcW w:w="2814" w:type="dxa"/>
                  <w:noWrap w:val="0"/>
                  <w:vAlign w:val="center"/>
                </w:tcPr>
                <w:p>
                  <w:pPr>
                    <w:pStyle w:val="10"/>
                    <w:rPr>
                      <w:rFonts w:hint="eastAsia" w:eastAsia="宋体"/>
                      <w:color w:val="auto"/>
                      <w:sz w:val="21"/>
                      <w:szCs w:val="21"/>
                      <w:highlight w:val="none"/>
                      <w:lang w:eastAsia="zh-CN"/>
                    </w:rPr>
                  </w:pPr>
                  <w:r>
                    <w:rPr>
                      <w:rFonts w:hint="eastAsia"/>
                      <w:color w:val="auto"/>
                      <w:highlight w:val="none"/>
                    </w:rPr>
                    <w:t>含</w:t>
                  </w:r>
                  <w:r>
                    <w:rPr>
                      <w:rFonts w:hint="eastAsia"/>
                      <w:color w:val="auto"/>
                      <w:highlight w:val="none"/>
                      <w:lang w:eastAsia="zh-CN"/>
                    </w:rPr>
                    <w:t>油</w:t>
                  </w:r>
                  <w:r>
                    <w:rPr>
                      <w:rFonts w:hint="eastAsia"/>
                      <w:color w:val="auto"/>
                      <w:highlight w:val="none"/>
                    </w:rPr>
                    <w:t>金属屑单独收集后放入离心分离设备内，在离心力的作用下，将金属屑与</w:t>
                  </w:r>
                  <w:r>
                    <w:rPr>
                      <w:rFonts w:hint="eastAsia"/>
                      <w:color w:val="auto"/>
                      <w:highlight w:val="none"/>
                      <w:lang w:eastAsia="zh-CN"/>
                    </w:rPr>
                    <w:t>废</w:t>
                  </w:r>
                  <w:r>
                    <w:rPr>
                      <w:rFonts w:hint="eastAsia"/>
                      <w:color w:val="auto"/>
                      <w:highlight w:val="none"/>
                    </w:rPr>
                    <w:t>切削液分开，离</w:t>
                  </w:r>
                  <w:r>
                    <w:rPr>
                      <w:rFonts w:hint="eastAsia"/>
                      <w:color w:val="auto"/>
                      <w:highlight w:val="none"/>
                      <w:lang w:eastAsia="zh-CN"/>
                    </w:rPr>
                    <w:t>心</w:t>
                  </w:r>
                  <w:r>
                    <w:rPr>
                      <w:rFonts w:hint="eastAsia"/>
                      <w:color w:val="auto"/>
                      <w:highlight w:val="none"/>
                    </w:rPr>
                    <w:t>设备收集桶内收集的废切削液倒入回收桶内，加盖储存，可重新回用于生产，</w:t>
                  </w:r>
                  <w:r>
                    <w:rPr>
                      <w:rFonts w:hint="eastAsia"/>
                      <w:color w:val="auto"/>
                      <w:highlight w:val="none"/>
                      <w:lang w:eastAsia="zh-CN"/>
                    </w:rPr>
                    <w:t>定期更换；</w:t>
                  </w:r>
                  <w:r>
                    <w:rPr>
                      <w:rFonts w:hint="eastAsia"/>
                      <w:color w:val="auto"/>
                      <w:highlight w:val="none"/>
                    </w:rPr>
                    <w:t>离心后的废金属屑袋装收集储存不落地</w:t>
                  </w:r>
                  <w:r>
                    <w:rPr>
                      <w:rFonts w:hint="eastAsia"/>
                      <w:color w:val="auto"/>
                      <w:highlight w:val="none"/>
                      <w:lang w:eastAsia="zh-CN"/>
                    </w:rPr>
                    <w:t>，集中收集后外售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color w:val="auto"/>
                      <w:szCs w:val="21"/>
                      <w:highlight w:val="none"/>
                    </w:rPr>
                  </w:pPr>
                  <w:r>
                    <w:rPr>
                      <w:color w:val="auto"/>
                      <w:szCs w:val="21"/>
                      <w:highlight w:val="none"/>
                    </w:rPr>
                    <w:t>S3</w:t>
                  </w:r>
                </w:p>
              </w:tc>
              <w:tc>
                <w:tcPr>
                  <w:tcW w:w="1650" w:type="dxa"/>
                  <w:noWrap w:val="0"/>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铣床</w:t>
                  </w:r>
                </w:p>
              </w:tc>
              <w:tc>
                <w:tcPr>
                  <w:tcW w:w="2491" w:type="dxa"/>
                  <w:noWrap w:val="0"/>
                  <w:vAlign w:val="center"/>
                </w:tcPr>
                <w:p>
                  <w:pPr>
                    <w:tabs>
                      <w:tab w:val="left" w:pos="2604"/>
                    </w:tabs>
                    <w:jc w:val="both"/>
                    <w:rPr>
                      <w:rFonts w:hint="eastAsia" w:eastAsia="宋体"/>
                      <w:color w:val="auto"/>
                      <w:szCs w:val="21"/>
                      <w:highlight w:val="none"/>
                      <w:lang w:eastAsia="zh-CN"/>
                    </w:rPr>
                  </w:pPr>
                  <w:r>
                    <w:rPr>
                      <w:rFonts w:hint="eastAsia"/>
                      <w:color w:val="auto"/>
                      <w:szCs w:val="21"/>
                      <w:highlight w:val="none"/>
                      <w:lang w:eastAsia="zh-CN"/>
                    </w:rPr>
                    <w:t>废润滑油、废切削液、废包装桶</w:t>
                  </w:r>
                </w:p>
              </w:tc>
              <w:tc>
                <w:tcPr>
                  <w:tcW w:w="808" w:type="dxa"/>
                  <w:vMerge w:val="continue"/>
                  <w:noWrap w:val="0"/>
                  <w:vAlign w:val="center"/>
                </w:tcPr>
                <w:p>
                  <w:pPr>
                    <w:tabs>
                      <w:tab w:val="left" w:pos="2604"/>
                    </w:tabs>
                    <w:jc w:val="center"/>
                    <w:rPr>
                      <w:color w:val="auto"/>
                      <w:szCs w:val="21"/>
                      <w:highlight w:val="none"/>
                    </w:rPr>
                  </w:pPr>
                </w:p>
              </w:tc>
              <w:tc>
                <w:tcPr>
                  <w:tcW w:w="2814" w:type="dxa"/>
                  <w:vMerge w:val="restart"/>
                  <w:noWrap w:val="0"/>
                  <w:vAlign w:val="center"/>
                </w:tcPr>
                <w:p>
                  <w:pPr>
                    <w:tabs>
                      <w:tab w:val="left" w:pos="2604"/>
                    </w:tabs>
                    <w:jc w:val="center"/>
                    <w:rPr>
                      <w:color w:val="auto"/>
                      <w:szCs w:val="21"/>
                      <w:highlight w:val="none"/>
                    </w:rPr>
                  </w:pPr>
                  <w:r>
                    <w:rPr>
                      <w:color w:val="auto"/>
                      <w:szCs w:val="21"/>
                      <w:highlight w:val="none"/>
                    </w:rPr>
                    <w:t>危废暂存间暂存，委托有资质单位处理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color w:val="auto"/>
                      <w:szCs w:val="21"/>
                      <w:highlight w:val="none"/>
                    </w:rPr>
                  </w:pPr>
                  <w:r>
                    <w:rPr>
                      <w:color w:val="auto"/>
                      <w:szCs w:val="21"/>
                      <w:highlight w:val="none"/>
                    </w:rPr>
                    <w:t>S4</w:t>
                  </w:r>
                </w:p>
              </w:tc>
              <w:tc>
                <w:tcPr>
                  <w:tcW w:w="1650" w:type="dxa"/>
                  <w:vMerge w:val="restart"/>
                  <w:noWrap w:val="0"/>
                  <w:vAlign w:val="center"/>
                </w:tcPr>
                <w:p>
                  <w:pPr>
                    <w:tabs>
                      <w:tab w:val="left" w:pos="2604"/>
                    </w:tabs>
                    <w:jc w:val="center"/>
                    <w:rPr>
                      <w:color w:val="auto"/>
                      <w:szCs w:val="21"/>
                      <w:highlight w:val="none"/>
                    </w:rPr>
                  </w:pPr>
                  <w:r>
                    <w:rPr>
                      <w:color w:val="auto"/>
                      <w:szCs w:val="21"/>
                      <w:highlight w:val="none"/>
                    </w:rPr>
                    <w:t>设备运转维修</w:t>
                  </w:r>
                </w:p>
              </w:tc>
              <w:tc>
                <w:tcPr>
                  <w:tcW w:w="2491" w:type="dxa"/>
                  <w:noWrap w:val="0"/>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废润滑油</w:t>
                  </w:r>
                </w:p>
              </w:tc>
              <w:tc>
                <w:tcPr>
                  <w:tcW w:w="808" w:type="dxa"/>
                  <w:vMerge w:val="restart"/>
                  <w:noWrap w:val="0"/>
                  <w:vAlign w:val="center"/>
                </w:tcPr>
                <w:p>
                  <w:pPr>
                    <w:tabs>
                      <w:tab w:val="left" w:pos="2604"/>
                    </w:tabs>
                    <w:jc w:val="center"/>
                    <w:rPr>
                      <w:color w:val="auto"/>
                      <w:szCs w:val="21"/>
                      <w:highlight w:val="none"/>
                    </w:rPr>
                  </w:pPr>
                  <w:r>
                    <w:rPr>
                      <w:color w:val="auto"/>
                      <w:szCs w:val="21"/>
                      <w:highlight w:val="none"/>
                    </w:rPr>
                    <w:t>间断</w:t>
                  </w: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eastAsia" w:eastAsia="宋体"/>
                      <w:color w:val="auto"/>
                      <w:szCs w:val="21"/>
                      <w:highlight w:val="none"/>
                      <w:lang w:eastAsia="zh-CN"/>
                    </w:rPr>
                  </w:pPr>
                  <w:r>
                    <w:rPr>
                      <w:color w:val="auto"/>
                      <w:szCs w:val="21"/>
                      <w:highlight w:val="none"/>
                    </w:rPr>
                    <w:t>S</w:t>
                  </w:r>
                  <w:r>
                    <w:rPr>
                      <w:rFonts w:hint="eastAsia"/>
                      <w:color w:val="auto"/>
                      <w:szCs w:val="21"/>
                      <w:highlight w:val="none"/>
                      <w:lang w:val="en-US" w:eastAsia="zh-CN"/>
                    </w:rPr>
                    <w:t>5</w:t>
                  </w:r>
                </w:p>
              </w:tc>
              <w:tc>
                <w:tcPr>
                  <w:tcW w:w="1650" w:type="dxa"/>
                  <w:vMerge w:val="continue"/>
                  <w:noWrap w:val="0"/>
                  <w:vAlign w:val="center"/>
                </w:tcPr>
                <w:p>
                  <w:pPr>
                    <w:tabs>
                      <w:tab w:val="left" w:pos="2604"/>
                    </w:tabs>
                    <w:jc w:val="center"/>
                    <w:rPr>
                      <w:color w:val="auto"/>
                      <w:szCs w:val="21"/>
                      <w:highlight w:val="none"/>
                    </w:rPr>
                  </w:pPr>
                </w:p>
              </w:tc>
              <w:tc>
                <w:tcPr>
                  <w:tcW w:w="2491" w:type="dxa"/>
                  <w:noWrap w:val="0"/>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废液压油</w:t>
                  </w:r>
                </w:p>
              </w:tc>
              <w:tc>
                <w:tcPr>
                  <w:tcW w:w="808" w:type="dxa"/>
                  <w:vMerge w:val="continue"/>
                  <w:noWrap w:val="0"/>
                  <w:vAlign w:val="center"/>
                </w:tcPr>
                <w:p>
                  <w:pPr>
                    <w:tabs>
                      <w:tab w:val="left" w:pos="2604"/>
                    </w:tabs>
                    <w:jc w:val="center"/>
                    <w:rPr>
                      <w:color w:val="auto"/>
                      <w:szCs w:val="21"/>
                      <w:highlight w:val="none"/>
                    </w:rPr>
                  </w:pP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S</w:t>
                  </w:r>
                  <w:r>
                    <w:rPr>
                      <w:rFonts w:hint="eastAsia"/>
                      <w:color w:val="auto"/>
                      <w:szCs w:val="21"/>
                      <w:highlight w:val="none"/>
                      <w:lang w:val="en-US" w:eastAsia="zh-CN"/>
                    </w:rPr>
                    <w:t>6</w:t>
                  </w:r>
                </w:p>
              </w:tc>
              <w:tc>
                <w:tcPr>
                  <w:tcW w:w="1650" w:type="dxa"/>
                  <w:vMerge w:val="continue"/>
                  <w:noWrap w:val="0"/>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p>
              </w:tc>
              <w:tc>
                <w:tcPr>
                  <w:tcW w:w="2491" w:type="dxa"/>
                  <w:noWrap w:val="0"/>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废包装桶</w:t>
                  </w:r>
                </w:p>
              </w:tc>
              <w:tc>
                <w:tcPr>
                  <w:tcW w:w="808" w:type="dxa"/>
                  <w:vMerge w:val="continue"/>
                  <w:noWrap w:val="0"/>
                  <w:vAlign w:val="center"/>
                </w:tcPr>
                <w:p>
                  <w:pPr>
                    <w:tabs>
                      <w:tab w:val="left" w:pos="2604"/>
                    </w:tabs>
                    <w:jc w:val="center"/>
                    <w:rPr>
                      <w:color w:val="auto"/>
                      <w:szCs w:val="21"/>
                      <w:highlight w:val="none"/>
                    </w:rPr>
                  </w:pPr>
                </w:p>
              </w:tc>
              <w:tc>
                <w:tcPr>
                  <w:tcW w:w="2814" w:type="dxa"/>
                  <w:vMerge w:val="continue"/>
                  <w:noWrap w:val="0"/>
                  <w:vAlign w:val="center"/>
                </w:tcPr>
                <w:p>
                  <w:pPr>
                    <w:tabs>
                      <w:tab w:val="left" w:pos="2604"/>
                    </w:tabs>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eastAsia="宋体"/>
                      <w:color w:val="auto"/>
                      <w:szCs w:val="21"/>
                      <w:highlight w:val="none"/>
                      <w:lang w:val="en-US" w:eastAsia="zh-CN"/>
                    </w:rPr>
                  </w:pPr>
                  <w:r>
                    <w:rPr>
                      <w:rFonts w:hint="eastAsia"/>
                      <w:color w:val="auto"/>
                      <w:szCs w:val="21"/>
                      <w:highlight w:val="none"/>
                      <w:lang w:val="en-US" w:eastAsia="zh-CN"/>
                    </w:rPr>
                    <w:t>S7</w:t>
                  </w:r>
                </w:p>
              </w:tc>
              <w:tc>
                <w:tcPr>
                  <w:tcW w:w="1650" w:type="dxa"/>
                  <w:noWrap w:val="0"/>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除尘器</w:t>
                  </w:r>
                </w:p>
              </w:tc>
              <w:tc>
                <w:tcPr>
                  <w:tcW w:w="2491" w:type="dxa"/>
                  <w:noWrap w:val="0"/>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除尘灰</w:t>
                  </w:r>
                </w:p>
              </w:tc>
              <w:tc>
                <w:tcPr>
                  <w:tcW w:w="808" w:type="dxa"/>
                  <w:vMerge w:val="continue"/>
                  <w:noWrap w:val="0"/>
                  <w:vAlign w:val="center"/>
                </w:tcPr>
                <w:p>
                  <w:pPr>
                    <w:tabs>
                      <w:tab w:val="left" w:pos="2604"/>
                    </w:tabs>
                    <w:jc w:val="center"/>
                    <w:rPr>
                      <w:color w:val="auto"/>
                      <w:szCs w:val="21"/>
                      <w:highlight w:val="none"/>
                    </w:rPr>
                  </w:pPr>
                </w:p>
              </w:tc>
              <w:tc>
                <w:tcPr>
                  <w:tcW w:w="2814" w:type="dxa"/>
                  <w:noWrap w:val="0"/>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集中收集后外售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689" w:type="dxa"/>
                  <w:vMerge w:val="continue"/>
                  <w:noWrap w:val="0"/>
                  <w:vAlign w:val="center"/>
                </w:tcPr>
                <w:p>
                  <w:pPr>
                    <w:tabs>
                      <w:tab w:val="left" w:pos="2604"/>
                    </w:tabs>
                    <w:jc w:val="center"/>
                    <w:rPr>
                      <w:color w:val="auto"/>
                      <w:szCs w:val="21"/>
                      <w:highlight w:val="none"/>
                    </w:rPr>
                  </w:pPr>
                </w:p>
              </w:tc>
              <w:tc>
                <w:tcPr>
                  <w:tcW w:w="682" w:type="dxa"/>
                  <w:noWrap w:val="0"/>
                  <w:vAlign w:val="center"/>
                </w:tcPr>
                <w:p>
                  <w:pPr>
                    <w:tabs>
                      <w:tab w:val="left" w:pos="2604"/>
                    </w:tabs>
                    <w:jc w:val="center"/>
                    <w:rPr>
                      <w:rFonts w:hint="default"/>
                      <w:color w:val="auto"/>
                      <w:szCs w:val="21"/>
                      <w:highlight w:val="none"/>
                      <w:lang w:val="en-US" w:eastAsia="zh-CN"/>
                    </w:rPr>
                  </w:pPr>
                  <w:r>
                    <w:rPr>
                      <w:rFonts w:hint="eastAsia"/>
                      <w:color w:val="auto"/>
                      <w:szCs w:val="21"/>
                      <w:highlight w:val="none"/>
                      <w:lang w:val="en-US" w:eastAsia="zh-CN"/>
                    </w:rPr>
                    <w:t>S8</w:t>
                  </w:r>
                </w:p>
              </w:tc>
              <w:tc>
                <w:tcPr>
                  <w:tcW w:w="1650" w:type="dxa"/>
                  <w:noWrap w:val="0"/>
                  <w:vAlign w:val="center"/>
                </w:tcPr>
                <w:p>
                  <w:pPr>
                    <w:tabs>
                      <w:tab w:val="left" w:pos="2604"/>
                    </w:tabs>
                    <w:jc w:val="center"/>
                    <w:rPr>
                      <w:rFonts w:hint="eastAsia"/>
                      <w:color w:val="auto"/>
                      <w:szCs w:val="21"/>
                      <w:highlight w:val="none"/>
                      <w:lang w:eastAsia="zh-CN"/>
                    </w:rPr>
                  </w:pPr>
                  <w:r>
                    <w:rPr>
                      <w:rFonts w:hint="eastAsia"/>
                      <w:color w:val="auto"/>
                      <w:szCs w:val="21"/>
                      <w:highlight w:val="none"/>
                      <w:lang w:eastAsia="zh-CN"/>
                    </w:rPr>
                    <w:t>设备检修</w:t>
                  </w:r>
                </w:p>
              </w:tc>
              <w:tc>
                <w:tcPr>
                  <w:tcW w:w="2491" w:type="dxa"/>
                  <w:noWrap w:val="0"/>
                  <w:vAlign w:val="center"/>
                </w:tcPr>
                <w:p>
                  <w:pPr>
                    <w:tabs>
                      <w:tab w:val="left" w:pos="2604"/>
                    </w:tabs>
                    <w:jc w:val="center"/>
                    <w:rPr>
                      <w:rFonts w:hint="eastAsia" w:cs="Times New Roman"/>
                      <w:color w:val="auto"/>
                      <w:kern w:val="2"/>
                      <w:sz w:val="21"/>
                      <w:szCs w:val="21"/>
                      <w:highlight w:val="none"/>
                      <w:lang w:val="en-US" w:eastAsia="zh-CN" w:bidi="ar-SA"/>
                    </w:rPr>
                  </w:pPr>
                  <w:r>
                    <w:rPr>
                      <w:rFonts w:hint="eastAsia"/>
                      <w:color w:val="auto"/>
                      <w:szCs w:val="21"/>
                      <w:highlight w:val="none"/>
                      <w:lang w:eastAsia="zh-CN"/>
                    </w:rPr>
                    <w:t>含油废抹布及废手套</w:t>
                  </w:r>
                </w:p>
              </w:tc>
              <w:tc>
                <w:tcPr>
                  <w:tcW w:w="808" w:type="dxa"/>
                  <w:vMerge w:val="continue"/>
                  <w:noWrap w:val="0"/>
                  <w:vAlign w:val="center"/>
                </w:tcPr>
                <w:p>
                  <w:pPr>
                    <w:tabs>
                      <w:tab w:val="left" w:pos="2604"/>
                    </w:tabs>
                    <w:jc w:val="center"/>
                    <w:rPr>
                      <w:color w:val="auto"/>
                      <w:szCs w:val="21"/>
                      <w:highlight w:val="none"/>
                    </w:rPr>
                  </w:pPr>
                </w:p>
              </w:tc>
              <w:tc>
                <w:tcPr>
                  <w:tcW w:w="2814" w:type="dxa"/>
                  <w:noWrap w:val="0"/>
                  <w:vAlign w:val="center"/>
                </w:tcPr>
                <w:p>
                  <w:pPr>
                    <w:tabs>
                      <w:tab w:val="left" w:pos="2604"/>
                    </w:tabs>
                    <w:jc w:val="center"/>
                    <w:rPr>
                      <w:rFonts w:hint="eastAsia"/>
                      <w:color w:val="auto"/>
                      <w:szCs w:val="21"/>
                      <w:highlight w:val="none"/>
                      <w:lang w:eastAsia="zh-CN"/>
                    </w:rPr>
                  </w:pPr>
                  <w:r>
                    <w:rPr>
                      <w:color w:val="auto"/>
                      <w:szCs w:val="21"/>
                      <w:highlight w:val="none"/>
                    </w:rPr>
                    <w:t>危废暂存间暂存，委托有资质单位处理</w:t>
                  </w:r>
                </w:p>
              </w:tc>
            </w:tr>
          </w:tbl>
          <w:p>
            <w:pPr>
              <w:adjustRightInd w:val="0"/>
              <w:snapToGrid w:val="0"/>
              <w:spacing w:line="480" w:lineRule="exact"/>
              <w:rPr>
                <w:b/>
                <w:color w:val="auto"/>
                <w:kern w:val="24"/>
                <w:sz w:val="10"/>
                <w:szCs w:val="1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850" w:hRule="atLeast"/>
          <w:jc w:val="center"/>
        </w:trPr>
        <w:tc>
          <w:tcPr>
            <w:tcW w:w="9304" w:type="dxa"/>
            <w:tcBorders>
              <w:top w:val="single" w:color="auto" w:sz="4" w:space="0"/>
            </w:tcBorders>
          </w:tcPr>
          <w:p>
            <w:pPr>
              <w:spacing w:line="440" w:lineRule="exact"/>
              <w:rPr>
                <w:b/>
                <w:color w:val="auto"/>
                <w:sz w:val="28"/>
                <w:szCs w:val="28"/>
                <w:highlight w:val="none"/>
              </w:rPr>
            </w:pPr>
            <w:r>
              <w:rPr>
                <w:b/>
                <w:color w:val="auto"/>
                <w:sz w:val="28"/>
                <w:szCs w:val="28"/>
                <w:highlight w:val="none"/>
              </w:rPr>
              <w:t>主要污染工序</w:t>
            </w:r>
          </w:p>
          <w:p>
            <w:pPr>
              <w:spacing w:line="460" w:lineRule="exact"/>
              <w:ind w:firstLine="480" w:firstLineChars="200"/>
              <w:rPr>
                <w:bCs/>
                <w:color w:val="auto"/>
                <w:sz w:val="24"/>
                <w:highlight w:val="none"/>
              </w:rPr>
            </w:pPr>
            <w:r>
              <w:rPr>
                <w:bCs/>
                <w:color w:val="auto"/>
                <w:sz w:val="24"/>
                <w:highlight w:val="none"/>
              </w:rPr>
              <w:t>1、施工期主要污染物工序：</w:t>
            </w:r>
          </w:p>
          <w:p>
            <w:pPr>
              <w:spacing w:line="360" w:lineRule="auto"/>
              <w:ind w:firstLine="480" w:firstLineChars="200"/>
              <w:rPr>
                <w:color w:val="auto"/>
                <w:sz w:val="24"/>
                <w:highlight w:val="none"/>
              </w:rPr>
            </w:pPr>
            <w:r>
              <w:rPr>
                <w:rFonts w:hint="default" w:ascii="Times New Roman" w:hAnsi="Times New Roman" w:cs="Times New Roman"/>
                <w:color w:val="auto"/>
                <w:sz w:val="24"/>
                <w:szCs w:val="24"/>
                <w:highlight w:val="none"/>
              </w:rPr>
              <w:t>本次</w:t>
            </w:r>
            <w:r>
              <w:rPr>
                <w:rFonts w:hint="eastAsia" w:cs="Times New Roman"/>
                <w:color w:val="auto"/>
                <w:sz w:val="24"/>
                <w:szCs w:val="24"/>
                <w:highlight w:val="none"/>
                <w:lang w:eastAsia="zh-CN"/>
              </w:rPr>
              <w:t>技改</w:t>
            </w:r>
            <w:r>
              <w:rPr>
                <w:rFonts w:hint="default" w:ascii="Times New Roman" w:hAnsi="Times New Roman" w:cs="Times New Roman"/>
                <w:color w:val="auto"/>
                <w:sz w:val="24"/>
                <w:szCs w:val="24"/>
                <w:highlight w:val="none"/>
              </w:rPr>
              <w:t>项目</w:t>
            </w:r>
            <w:r>
              <w:rPr>
                <w:rFonts w:hint="eastAsia" w:cs="Times New Roman"/>
                <w:color w:val="auto"/>
                <w:sz w:val="24"/>
                <w:szCs w:val="24"/>
                <w:highlight w:val="none"/>
                <w:lang w:eastAsia="zh-CN"/>
              </w:rPr>
              <w:t>在现有生产车间内进行，不新增建构筑物</w:t>
            </w:r>
            <w:r>
              <w:rPr>
                <w:rFonts w:hint="default" w:ascii="Times New Roman" w:hAnsi="Times New Roman" w:cs="Times New Roman"/>
                <w:color w:val="auto"/>
                <w:sz w:val="24"/>
                <w:szCs w:val="24"/>
                <w:highlight w:val="none"/>
              </w:rPr>
              <w:t>。</w:t>
            </w:r>
            <w:r>
              <w:rPr>
                <w:color w:val="auto"/>
                <w:sz w:val="24"/>
                <w:highlight w:val="none"/>
              </w:rPr>
              <w:t>施工期</w:t>
            </w:r>
            <w:r>
              <w:rPr>
                <w:rFonts w:hint="eastAsia"/>
                <w:color w:val="auto"/>
                <w:sz w:val="24"/>
                <w:highlight w:val="none"/>
                <w:lang w:eastAsia="zh-CN"/>
              </w:rPr>
              <w:t>主要为设备安装，</w:t>
            </w:r>
            <w:r>
              <w:rPr>
                <w:color w:val="auto"/>
                <w:sz w:val="24"/>
                <w:highlight w:val="none"/>
              </w:rPr>
              <w:t>主要污染工序</w:t>
            </w:r>
            <w:r>
              <w:rPr>
                <w:rFonts w:hint="eastAsia"/>
                <w:color w:val="auto"/>
                <w:sz w:val="24"/>
                <w:highlight w:val="none"/>
              </w:rPr>
              <w:t>如下</w:t>
            </w:r>
            <w:r>
              <w:rPr>
                <w:color w:val="auto"/>
                <w:sz w:val="24"/>
                <w:highlight w:val="none"/>
              </w:rPr>
              <w:t>：</w:t>
            </w:r>
          </w:p>
          <w:p>
            <w:pPr>
              <w:spacing w:line="360" w:lineRule="auto"/>
              <w:ind w:firstLine="480" w:firstLineChars="200"/>
              <w:rPr>
                <w:rFonts w:hint="default"/>
                <w:bCs/>
                <w:color w:val="auto"/>
                <w:sz w:val="24"/>
                <w:highlight w:val="none"/>
              </w:rPr>
            </w:pPr>
            <w:r>
              <w:rPr>
                <w:rFonts w:hint="default"/>
                <w:bCs/>
                <w:color w:val="auto"/>
                <w:sz w:val="24"/>
                <w:highlight w:val="none"/>
              </w:rPr>
              <w:t>（</w:t>
            </w:r>
            <w:r>
              <w:rPr>
                <w:rFonts w:hint="eastAsia"/>
                <w:bCs/>
                <w:color w:val="auto"/>
                <w:sz w:val="24"/>
                <w:highlight w:val="none"/>
                <w:lang w:val="en-US" w:eastAsia="zh-CN"/>
              </w:rPr>
              <w:t>1</w:t>
            </w:r>
            <w:r>
              <w:rPr>
                <w:rFonts w:hint="default"/>
                <w:bCs/>
                <w:color w:val="auto"/>
                <w:sz w:val="24"/>
                <w:highlight w:val="none"/>
              </w:rPr>
              <w:t>）施工噪声：作业机械、运输车辆噪声，噪声值在65～</w:t>
            </w:r>
            <w:r>
              <w:rPr>
                <w:rFonts w:hint="default"/>
                <w:bCs/>
                <w:color w:val="auto"/>
                <w:sz w:val="24"/>
                <w:highlight w:val="none"/>
                <w:lang w:val="en-US" w:eastAsia="zh-CN"/>
              </w:rPr>
              <w:t>100</w:t>
            </w:r>
            <w:r>
              <w:rPr>
                <w:rFonts w:hint="default"/>
                <w:bCs/>
                <w:color w:val="auto"/>
                <w:sz w:val="24"/>
                <w:highlight w:val="none"/>
              </w:rPr>
              <w:t>dB(A)。</w:t>
            </w:r>
          </w:p>
          <w:p>
            <w:pPr>
              <w:spacing w:line="460" w:lineRule="exact"/>
              <w:ind w:firstLine="480" w:firstLineChars="200"/>
              <w:rPr>
                <w:bCs/>
                <w:color w:val="auto"/>
                <w:sz w:val="24"/>
                <w:highlight w:val="none"/>
              </w:rPr>
            </w:pPr>
            <w:r>
              <w:rPr>
                <w:rFonts w:hint="default"/>
                <w:bCs/>
                <w:color w:val="auto"/>
                <w:sz w:val="24"/>
                <w:highlight w:val="none"/>
              </w:rPr>
              <w:t>（</w:t>
            </w:r>
            <w:r>
              <w:rPr>
                <w:rFonts w:hint="eastAsia"/>
                <w:bCs/>
                <w:color w:val="auto"/>
                <w:sz w:val="24"/>
                <w:highlight w:val="none"/>
                <w:lang w:val="en-US" w:eastAsia="zh-CN"/>
              </w:rPr>
              <w:t>2</w:t>
            </w:r>
            <w:r>
              <w:rPr>
                <w:rFonts w:hint="default"/>
                <w:bCs/>
                <w:color w:val="auto"/>
                <w:sz w:val="24"/>
                <w:highlight w:val="none"/>
              </w:rPr>
              <w:t>）建筑垃圾：少量</w:t>
            </w:r>
            <w:r>
              <w:rPr>
                <w:rFonts w:hint="eastAsia"/>
                <w:bCs/>
                <w:color w:val="auto"/>
                <w:sz w:val="24"/>
                <w:highlight w:val="none"/>
                <w:lang w:eastAsia="zh-CN"/>
              </w:rPr>
              <w:t>废弃包装</w:t>
            </w:r>
            <w:r>
              <w:rPr>
                <w:rFonts w:hint="default"/>
                <w:bCs/>
                <w:color w:val="auto"/>
                <w:sz w:val="24"/>
                <w:highlight w:val="none"/>
              </w:rPr>
              <w:t>和少量生活垃圾。</w:t>
            </w:r>
          </w:p>
          <w:p>
            <w:pPr>
              <w:spacing w:line="460" w:lineRule="exact"/>
              <w:ind w:firstLine="480" w:firstLineChars="200"/>
              <w:rPr>
                <w:bCs/>
                <w:color w:val="auto"/>
                <w:sz w:val="24"/>
                <w:highlight w:val="none"/>
              </w:rPr>
            </w:pPr>
            <w:r>
              <w:rPr>
                <w:bCs/>
                <w:color w:val="auto"/>
                <w:sz w:val="24"/>
                <w:highlight w:val="none"/>
              </w:rPr>
              <w:t>2、营运期主要污染工序：</w:t>
            </w:r>
          </w:p>
          <w:p>
            <w:pPr>
              <w:spacing w:line="460" w:lineRule="exact"/>
              <w:ind w:firstLine="480" w:firstLineChars="200"/>
              <w:rPr>
                <w:color w:val="auto"/>
                <w:spacing w:val="8"/>
                <w:kern w:val="24"/>
                <w:sz w:val="24"/>
                <w:highlight w:val="none"/>
                <w:lang w:val="zh-CN"/>
              </w:rPr>
            </w:pPr>
            <w:r>
              <w:rPr>
                <w:bCs/>
                <w:color w:val="auto"/>
                <w:sz w:val="24"/>
                <w:highlight w:val="none"/>
              </w:rPr>
              <w:t>（1）</w:t>
            </w:r>
            <w:r>
              <w:rPr>
                <w:color w:val="auto"/>
                <w:spacing w:val="8"/>
                <w:kern w:val="24"/>
                <w:sz w:val="24"/>
                <w:highlight w:val="none"/>
                <w:lang w:val="zh-CN"/>
              </w:rPr>
              <w:t>废气：主要为</w:t>
            </w:r>
            <w:r>
              <w:rPr>
                <w:rFonts w:hint="eastAsia"/>
                <w:color w:val="auto"/>
                <w:spacing w:val="8"/>
                <w:kern w:val="24"/>
                <w:sz w:val="24"/>
                <w:highlight w:val="none"/>
                <w:lang w:val="zh-CN"/>
              </w:rPr>
              <w:t>数控火焰切割机废气、自制抛光机废气。</w:t>
            </w:r>
          </w:p>
          <w:p>
            <w:pPr>
              <w:spacing w:line="460" w:lineRule="exact"/>
              <w:ind w:firstLine="512" w:firstLineChars="200"/>
              <w:rPr>
                <w:color w:val="auto"/>
                <w:spacing w:val="8"/>
                <w:kern w:val="24"/>
                <w:sz w:val="24"/>
                <w:highlight w:val="none"/>
                <w:lang w:val="zh-CN"/>
              </w:rPr>
            </w:pPr>
            <w:r>
              <w:rPr>
                <w:color w:val="auto"/>
                <w:spacing w:val="8"/>
                <w:kern w:val="24"/>
                <w:sz w:val="24"/>
                <w:highlight w:val="none"/>
                <w:lang w:val="zh-CN"/>
              </w:rPr>
              <w:t>（2）废水：</w:t>
            </w:r>
            <w:r>
              <w:rPr>
                <w:rFonts w:hint="eastAsia"/>
                <w:color w:val="auto"/>
                <w:spacing w:val="8"/>
                <w:kern w:val="24"/>
                <w:sz w:val="24"/>
                <w:highlight w:val="none"/>
                <w:lang w:val="zh-CN"/>
              </w:rPr>
              <w:t>技改项目无新增员工，无新增生活污水；生产无废水产生；因此，技改项目无新增废水</w:t>
            </w:r>
            <w:r>
              <w:rPr>
                <w:color w:val="auto"/>
                <w:spacing w:val="8"/>
                <w:kern w:val="24"/>
                <w:sz w:val="24"/>
                <w:highlight w:val="none"/>
                <w:lang w:val="zh-CN"/>
              </w:rPr>
              <w:t>。</w:t>
            </w:r>
          </w:p>
          <w:p>
            <w:pPr>
              <w:spacing w:line="460" w:lineRule="exact"/>
              <w:ind w:firstLine="512" w:firstLineChars="200"/>
              <w:rPr>
                <w:color w:val="auto"/>
                <w:spacing w:val="8"/>
                <w:kern w:val="24"/>
                <w:sz w:val="24"/>
                <w:highlight w:val="none"/>
                <w:lang w:val="zh-CN"/>
              </w:rPr>
            </w:pPr>
            <w:r>
              <w:rPr>
                <w:color w:val="auto"/>
                <w:spacing w:val="8"/>
                <w:kern w:val="24"/>
                <w:sz w:val="24"/>
                <w:highlight w:val="none"/>
                <w:lang w:val="zh-CN"/>
              </w:rPr>
              <w:t>（3）噪声：主要噪声源为</w:t>
            </w:r>
            <w:r>
              <w:rPr>
                <w:rFonts w:hint="eastAsia"/>
                <w:color w:val="auto"/>
                <w:spacing w:val="8"/>
                <w:kern w:val="24"/>
                <w:sz w:val="24"/>
                <w:highlight w:val="none"/>
                <w:lang w:val="zh-CN"/>
              </w:rPr>
              <w:t>数控火焰切割机、锯床、卷板机、加工中心、车床、钻床、磨床、镗床、铣床、自制抛光机、电阻炉、风机、空压机</w:t>
            </w:r>
            <w:r>
              <w:rPr>
                <w:rFonts w:hint="default" w:ascii="Times New Roman" w:hAnsi="Times New Roman" w:cs="Times New Roman"/>
                <w:color w:val="auto"/>
                <w:spacing w:val="8"/>
                <w:kern w:val="24"/>
                <w:sz w:val="24"/>
                <w:highlight w:val="none"/>
                <w:lang w:val="zh-CN"/>
              </w:rPr>
              <w:t>等设备产生的噪声</w:t>
            </w:r>
            <w:r>
              <w:rPr>
                <w:color w:val="auto"/>
                <w:spacing w:val="8"/>
                <w:kern w:val="24"/>
                <w:sz w:val="24"/>
                <w:highlight w:val="none"/>
                <w:lang w:val="zh-CN"/>
              </w:rPr>
              <w:t>。</w:t>
            </w:r>
          </w:p>
          <w:p>
            <w:pPr>
              <w:spacing w:line="460" w:lineRule="exact"/>
              <w:ind w:firstLine="512" w:firstLineChars="200"/>
              <w:rPr>
                <w:color w:val="auto"/>
                <w:spacing w:val="8"/>
                <w:kern w:val="24"/>
                <w:sz w:val="24"/>
                <w:highlight w:val="none"/>
                <w:lang w:val="zh-CN"/>
              </w:rPr>
            </w:pPr>
            <w:r>
              <w:rPr>
                <w:color w:val="auto"/>
                <w:spacing w:val="8"/>
                <w:kern w:val="24"/>
                <w:sz w:val="24"/>
                <w:highlight w:val="none"/>
                <w:lang w:val="zh-CN"/>
              </w:rPr>
              <w:t>（4）固废：固废主要为</w:t>
            </w:r>
            <w:r>
              <w:rPr>
                <w:rFonts w:hint="eastAsia"/>
                <w:color w:val="auto"/>
                <w:spacing w:val="8"/>
                <w:kern w:val="24"/>
                <w:sz w:val="24"/>
                <w:highlight w:val="none"/>
                <w:lang w:val="zh-CN"/>
              </w:rPr>
              <w:t>下料、机加工产生的下脚料，锯</w:t>
            </w:r>
            <w:r>
              <w:rPr>
                <w:color w:val="auto"/>
                <w:spacing w:val="8"/>
                <w:kern w:val="24"/>
                <w:sz w:val="24"/>
                <w:highlight w:val="none"/>
                <w:lang w:val="zh-CN"/>
              </w:rPr>
              <w:t>床</w:t>
            </w:r>
            <w:r>
              <w:rPr>
                <w:rFonts w:hint="eastAsia"/>
                <w:color w:val="auto"/>
                <w:spacing w:val="8"/>
                <w:kern w:val="24"/>
                <w:sz w:val="24"/>
                <w:highlight w:val="none"/>
                <w:lang w:val="zh-CN" w:eastAsia="zh-CN"/>
              </w:rPr>
              <w:t>产生的含油金属屑，</w:t>
            </w:r>
            <w:r>
              <w:rPr>
                <w:color w:val="auto"/>
                <w:spacing w:val="8"/>
                <w:kern w:val="24"/>
                <w:sz w:val="24"/>
                <w:highlight w:val="none"/>
                <w:lang w:val="zh-CN"/>
              </w:rPr>
              <w:t>铣床</w:t>
            </w:r>
            <w:r>
              <w:rPr>
                <w:rFonts w:hint="eastAsia"/>
                <w:color w:val="auto"/>
                <w:spacing w:val="8"/>
                <w:kern w:val="24"/>
                <w:sz w:val="24"/>
                <w:highlight w:val="none"/>
                <w:lang w:val="zh-CN" w:eastAsia="zh-CN"/>
              </w:rPr>
              <w:t>产生的含油金属屑、废切削液、废切削液桶，</w:t>
            </w:r>
            <w:r>
              <w:rPr>
                <w:color w:val="auto"/>
                <w:spacing w:val="8"/>
                <w:kern w:val="24"/>
                <w:sz w:val="24"/>
                <w:highlight w:val="none"/>
                <w:lang w:val="zh-CN"/>
              </w:rPr>
              <w:t>设备运转维修</w:t>
            </w:r>
            <w:r>
              <w:rPr>
                <w:rFonts w:hint="eastAsia"/>
                <w:color w:val="auto"/>
                <w:spacing w:val="8"/>
                <w:kern w:val="24"/>
                <w:sz w:val="24"/>
                <w:highlight w:val="none"/>
                <w:lang w:val="zh-CN"/>
              </w:rPr>
              <w:t>过程中产生的废润滑油、废液压油、废包装桶，设备维修产生的</w:t>
            </w:r>
            <w:r>
              <w:rPr>
                <w:rFonts w:hint="eastAsia"/>
                <w:color w:val="auto"/>
                <w:spacing w:val="8"/>
                <w:kern w:val="24"/>
                <w:sz w:val="24"/>
                <w:highlight w:val="none"/>
                <w:lang w:val="zh-CN" w:eastAsia="zh-CN"/>
              </w:rPr>
              <w:t>含油废抹布及废手套，</w:t>
            </w:r>
            <w:r>
              <w:rPr>
                <w:rFonts w:hint="eastAsia"/>
                <w:color w:val="auto"/>
                <w:spacing w:val="8"/>
                <w:kern w:val="24"/>
                <w:sz w:val="24"/>
                <w:highlight w:val="none"/>
                <w:lang w:val="zh-CN"/>
              </w:rPr>
              <w:t>除尘器产生的除尘灰。</w:t>
            </w:r>
          </w:p>
          <w:p>
            <w:pPr>
              <w:spacing w:line="460" w:lineRule="exact"/>
              <w:ind w:firstLine="480" w:firstLineChars="200"/>
              <w:jc w:val="left"/>
              <w:rPr>
                <w:bCs/>
                <w:color w:val="auto"/>
                <w:sz w:val="24"/>
                <w:highlight w:val="none"/>
              </w:rPr>
            </w:pPr>
          </w:p>
          <w:p>
            <w:pPr>
              <w:spacing w:line="520" w:lineRule="exact"/>
              <w:ind w:firstLine="420" w:firstLineChars="200"/>
              <w:rPr>
                <w:color w:val="auto"/>
                <w:kern w:val="0"/>
                <w:highlight w:val="none"/>
              </w:rPr>
            </w:pPr>
          </w:p>
          <w:p>
            <w:pPr>
              <w:spacing w:line="520" w:lineRule="exact"/>
              <w:ind w:firstLine="420" w:firstLineChars="200"/>
              <w:rPr>
                <w:color w:val="auto"/>
                <w:kern w:val="0"/>
                <w:highlight w:val="none"/>
              </w:rPr>
            </w:pPr>
          </w:p>
          <w:p>
            <w:pPr>
              <w:spacing w:line="520" w:lineRule="exact"/>
              <w:ind w:firstLine="420" w:firstLineChars="200"/>
              <w:rPr>
                <w:color w:val="auto"/>
                <w:kern w:val="0"/>
                <w:highlight w:val="none"/>
              </w:rPr>
            </w:pPr>
          </w:p>
          <w:p>
            <w:pPr>
              <w:spacing w:line="520" w:lineRule="exact"/>
              <w:rPr>
                <w:color w:val="auto"/>
                <w:kern w:val="0"/>
                <w:highlight w:val="none"/>
              </w:rPr>
            </w:pPr>
          </w:p>
        </w:tc>
      </w:tr>
    </w:tbl>
    <w:p>
      <w:pPr>
        <w:outlineLvl w:val="0"/>
        <w:rPr>
          <w:b/>
          <w:bCs/>
          <w:color w:val="auto"/>
          <w:sz w:val="32"/>
          <w:highlight w:val="none"/>
        </w:rPr>
      </w:pPr>
      <w:r>
        <w:rPr>
          <w:b/>
          <w:bCs/>
          <w:color w:val="auto"/>
          <w:sz w:val="32"/>
          <w:highlight w:val="none"/>
        </w:rPr>
        <w:t>项目主要污染物产生及预计排放情况</w:t>
      </w:r>
    </w:p>
    <w:tbl>
      <w:tblPr>
        <w:tblStyle w:val="31"/>
        <w:tblW w:w="9355"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85" w:type="dxa"/>
          <w:bottom w:w="0" w:type="dxa"/>
          <w:right w:w="85" w:type="dxa"/>
        </w:tblCellMar>
      </w:tblPr>
      <w:tblGrid>
        <w:gridCol w:w="1078"/>
        <w:gridCol w:w="1750"/>
        <w:gridCol w:w="1482"/>
        <w:gridCol w:w="2154"/>
        <w:gridCol w:w="2891"/>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0" w:hRule="atLeast"/>
          <w:jc w:val="center"/>
        </w:trPr>
        <w:tc>
          <w:tcPr>
            <w:tcW w:w="1078" w:type="dxa"/>
            <w:vAlign w:val="center"/>
          </w:tcPr>
          <w:p>
            <w:pPr>
              <w:autoSpaceDE w:val="0"/>
              <w:autoSpaceDN w:val="0"/>
              <w:adjustRightInd w:val="0"/>
              <w:spacing w:line="400" w:lineRule="exact"/>
              <w:jc w:val="center"/>
              <w:rPr>
                <w:b/>
                <w:color w:val="auto"/>
                <w:kern w:val="0"/>
                <w:sz w:val="24"/>
                <w:szCs w:val="24"/>
                <w:highlight w:val="none"/>
              </w:rPr>
            </w:pPr>
            <w:r>
              <w:rPr>
                <w:b/>
                <w:color w:val="auto"/>
                <w:kern w:val="0"/>
                <w:sz w:val="24"/>
                <w:szCs w:val="24"/>
                <w:highlight w:val="none"/>
              </w:rPr>
              <w:t xml:space="preserve">   内容</w:t>
            </w:r>
          </w:p>
          <w:p>
            <w:pPr>
              <w:autoSpaceDE w:val="0"/>
              <w:autoSpaceDN w:val="0"/>
              <w:adjustRightInd w:val="0"/>
              <w:spacing w:line="400" w:lineRule="exact"/>
              <w:rPr>
                <w:b/>
                <w:color w:val="auto"/>
                <w:kern w:val="24"/>
                <w:sz w:val="24"/>
                <w:szCs w:val="24"/>
                <w:highlight w:val="none"/>
              </w:rPr>
            </w:pPr>
            <w:r>
              <w:rPr>
                <w:b/>
                <w:color w:val="auto"/>
                <w:kern w:val="0"/>
                <w:sz w:val="24"/>
                <w:szCs w:val="24"/>
                <w:highlight w:val="none"/>
              </w:rPr>
              <w:t>类型</w:t>
            </w:r>
          </w:p>
        </w:tc>
        <w:tc>
          <w:tcPr>
            <w:tcW w:w="1750" w:type="dxa"/>
            <w:vAlign w:val="center"/>
          </w:tcPr>
          <w:p>
            <w:pPr>
              <w:spacing w:line="400" w:lineRule="exact"/>
              <w:jc w:val="center"/>
              <w:rPr>
                <w:b/>
                <w:color w:val="auto"/>
                <w:kern w:val="24"/>
                <w:sz w:val="24"/>
                <w:szCs w:val="24"/>
                <w:highlight w:val="none"/>
              </w:rPr>
            </w:pPr>
            <w:r>
              <w:rPr>
                <w:b/>
                <w:color w:val="auto"/>
                <w:kern w:val="24"/>
                <w:sz w:val="24"/>
                <w:szCs w:val="24"/>
                <w:highlight w:val="none"/>
              </w:rPr>
              <w:t>排放源</w:t>
            </w:r>
          </w:p>
          <w:p>
            <w:pPr>
              <w:spacing w:line="400" w:lineRule="exact"/>
              <w:jc w:val="center"/>
              <w:rPr>
                <w:b/>
                <w:color w:val="auto"/>
                <w:kern w:val="24"/>
                <w:sz w:val="24"/>
                <w:szCs w:val="24"/>
                <w:highlight w:val="none"/>
              </w:rPr>
            </w:pPr>
            <w:r>
              <w:rPr>
                <w:b/>
                <w:color w:val="auto"/>
                <w:kern w:val="24"/>
                <w:sz w:val="24"/>
                <w:szCs w:val="24"/>
                <w:highlight w:val="none"/>
              </w:rPr>
              <w:t>（编号）</w:t>
            </w:r>
          </w:p>
        </w:tc>
        <w:tc>
          <w:tcPr>
            <w:tcW w:w="1482" w:type="dxa"/>
            <w:vAlign w:val="center"/>
          </w:tcPr>
          <w:p>
            <w:pPr>
              <w:spacing w:line="400" w:lineRule="exact"/>
              <w:jc w:val="center"/>
              <w:rPr>
                <w:b/>
                <w:color w:val="auto"/>
                <w:kern w:val="24"/>
                <w:sz w:val="24"/>
                <w:szCs w:val="24"/>
                <w:highlight w:val="none"/>
              </w:rPr>
            </w:pPr>
            <w:r>
              <w:rPr>
                <w:b/>
                <w:color w:val="auto"/>
                <w:kern w:val="24"/>
                <w:sz w:val="24"/>
                <w:szCs w:val="24"/>
                <w:highlight w:val="none"/>
              </w:rPr>
              <w:t>污染物</w:t>
            </w:r>
          </w:p>
          <w:p>
            <w:pPr>
              <w:spacing w:line="400" w:lineRule="exact"/>
              <w:jc w:val="center"/>
              <w:rPr>
                <w:b/>
                <w:color w:val="auto"/>
                <w:kern w:val="24"/>
                <w:sz w:val="24"/>
                <w:szCs w:val="24"/>
                <w:highlight w:val="none"/>
              </w:rPr>
            </w:pPr>
            <w:r>
              <w:rPr>
                <w:b/>
                <w:color w:val="auto"/>
                <w:kern w:val="24"/>
                <w:sz w:val="24"/>
                <w:szCs w:val="24"/>
                <w:highlight w:val="none"/>
              </w:rPr>
              <w:t>名称</w:t>
            </w:r>
          </w:p>
        </w:tc>
        <w:tc>
          <w:tcPr>
            <w:tcW w:w="2154" w:type="dxa"/>
            <w:vAlign w:val="center"/>
          </w:tcPr>
          <w:p>
            <w:pPr>
              <w:spacing w:line="400" w:lineRule="exact"/>
              <w:jc w:val="center"/>
              <w:rPr>
                <w:b/>
                <w:color w:val="auto"/>
                <w:kern w:val="24"/>
                <w:sz w:val="24"/>
                <w:szCs w:val="24"/>
                <w:highlight w:val="none"/>
              </w:rPr>
            </w:pPr>
            <w:r>
              <w:rPr>
                <w:b/>
                <w:color w:val="auto"/>
                <w:kern w:val="24"/>
                <w:sz w:val="24"/>
                <w:szCs w:val="24"/>
                <w:highlight w:val="none"/>
              </w:rPr>
              <w:t>处理前产生浓度及产生量(单位)</w:t>
            </w:r>
          </w:p>
        </w:tc>
        <w:tc>
          <w:tcPr>
            <w:tcW w:w="2891" w:type="dxa"/>
            <w:vAlign w:val="center"/>
          </w:tcPr>
          <w:p>
            <w:pPr>
              <w:spacing w:line="400" w:lineRule="exact"/>
              <w:jc w:val="center"/>
              <w:rPr>
                <w:b/>
                <w:color w:val="auto"/>
                <w:kern w:val="24"/>
                <w:sz w:val="24"/>
                <w:szCs w:val="24"/>
                <w:highlight w:val="none"/>
              </w:rPr>
            </w:pPr>
            <w:r>
              <w:rPr>
                <w:b/>
                <w:color w:val="auto"/>
                <w:kern w:val="24"/>
                <w:sz w:val="24"/>
                <w:szCs w:val="24"/>
                <w:highlight w:val="none"/>
              </w:rPr>
              <w:t>排放浓度及排放量</w:t>
            </w:r>
          </w:p>
          <w:p>
            <w:pPr>
              <w:spacing w:line="400" w:lineRule="exact"/>
              <w:jc w:val="center"/>
              <w:rPr>
                <w:b/>
                <w:color w:val="auto"/>
                <w:kern w:val="24"/>
                <w:sz w:val="24"/>
                <w:szCs w:val="24"/>
                <w:highlight w:val="none"/>
              </w:rPr>
            </w:pPr>
            <w:r>
              <w:rPr>
                <w:b/>
                <w:color w:val="auto"/>
                <w:kern w:val="24"/>
                <w:sz w:val="24"/>
                <w:szCs w:val="24"/>
                <w:highlight w:val="none"/>
              </w:rPr>
              <w:t>(单位)</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470" w:hRule="atLeast"/>
          <w:jc w:val="center"/>
        </w:trPr>
        <w:tc>
          <w:tcPr>
            <w:tcW w:w="1078" w:type="dxa"/>
            <w:vMerge w:val="restart"/>
            <w:vAlign w:val="center"/>
          </w:tcPr>
          <w:p>
            <w:pPr>
              <w:autoSpaceDE w:val="0"/>
              <w:autoSpaceDN w:val="0"/>
              <w:adjustRightInd w:val="0"/>
              <w:spacing w:line="400" w:lineRule="exact"/>
              <w:jc w:val="center"/>
              <w:rPr>
                <w:b/>
                <w:color w:val="auto"/>
                <w:kern w:val="0"/>
                <w:sz w:val="24"/>
                <w:szCs w:val="24"/>
                <w:highlight w:val="none"/>
              </w:rPr>
            </w:pPr>
            <w:r>
              <w:rPr>
                <w:b/>
                <w:color w:val="auto"/>
                <w:kern w:val="0"/>
                <w:sz w:val="24"/>
                <w:szCs w:val="24"/>
                <w:highlight w:val="none"/>
              </w:rPr>
              <w:t>大气</w:t>
            </w:r>
          </w:p>
          <w:p>
            <w:pPr>
              <w:autoSpaceDE w:val="0"/>
              <w:autoSpaceDN w:val="0"/>
              <w:adjustRightInd w:val="0"/>
              <w:spacing w:line="400" w:lineRule="exact"/>
              <w:jc w:val="center"/>
              <w:rPr>
                <w:b/>
                <w:color w:val="auto"/>
                <w:kern w:val="0"/>
                <w:sz w:val="24"/>
                <w:szCs w:val="24"/>
                <w:highlight w:val="none"/>
              </w:rPr>
            </w:pPr>
            <w:r>
              <w:rPr>
                <w:b/>
                <w:color w:val="auto"/>
                <w:kern w:val="0"/>
                <w:sz w:val="24"/>
                <w:szCs w:val="24"/>
                <w:highlight w:val="none"/>
              </w:rPr>
              <w:t>污染</w:t>
            </w:r>
          </w:p>
          <w:p>
            <w:pPr>
              <w:autoSpaceDE w:val="0"/>
              <w:autoSpaceDN w:val="0"/>
              <w:adjustRightInd w:val="0"/>
              <w:spacing w:line="400" w:lineRule="exact"/>
              <w:jc w:val="center"/>
              <w:rPr>
                <w:b/>
                <w:color w:val="auto"/>
                <w:kern w:val="0"/>
                <w:sz w:val="24"/>
                <w:szCs w:val="24"/>
                <w:highlight w:val="none"/>
              </w:rPr>
            </w:pPr>
            <w:r>
              <w:rPr>
                <w:b/>
                <w:color w:val="auto"/>
                <w:kern w:val="0"/>
                <w:sz w:val="24"/>
                <w:szCs w:val="24"/>
                <w:highlight w:val="none"/>
              </w:rPr>
              <w:t>物</w:t>
            </w:r>
          </w:p>
        </w:tc>
        <w:tc>
          <w:tcPr>
            <w:tcW w:w="1750" w:type="dxa"/>
            <w:vAlign w:val="center"/>
          </w:tcPr>
          <w:p>
            <w:pPr>
              <w:tabs>
                <w:tab w:val="left" w:pos="2604"/>
              </w:tabs>
              <w:jc w:val="center"/>
              <w:rPr>
                <w:rFonts w:hint="eastAsia" w:eastAsia="宋体"/>
                <w:color w:val="auto"/>
                <w:sz w:val="24"/>
                <w:szCs w:val="24"/>
                <w:highlight w:val="none"/>
                <w:lang w:eastAsia="zh-CN"/>
              </w:rPr>
            </w:pPr>
            <w:r>
              <w:rPr>
                <w:rFonts w:hint="eastAsia"/>
                <w:color w:val="auto"/>
                <w:sz w:val="24"/>
                <w:szCs w:val="24"/>
                <w:highlight w:val="none"/>
                <w:lang w:val="en-US" w:eastAsia="zh-CN"/>
              </w:rPr>
              <w:t>数控火焰切割机</w:t>
            </w:r>
          </w:p>
        </w:tc>
        <w:tc>
          <w:tcPr>
            <w:tcW w:w="1482" w:type="dxa"/>
            <w:vAlign w:val="center"/>
          </w:tcPr>
          <w:p>
            <w:pPr>
              <w:tabs>
                <w:tab w:val="left" w:pos="2604"/>
              </w:tabs>
              <w:jc w:val="center"/>
              <w:rPr>
                <w:color w:val="auto"/>
                <w:sz w:val="24"/>
                <w:szCs w:val="24"/>
                <w:highlight w:val="none"/>
              </w:rPr>
            </w:pPr>
            <w:r>
              <w:rPr>
                <w:color w:val="auto"/>
                <w:sz w:val="24"/>
                <w:szCs w:val="24"/>
                <w:highlight w:val="none"/>
              </w:rPr>
              <w:t>颗粒物</w:t>
            </w:r>
          </w:p>
        </w:tc>
        <w:tc>
          <w:tcPr>
            <w:tcW w:w="2154" w:type="dxa"/>
            <w:vAlign w:val="center"/>
          </w:tcPr>
          <w:p>
            <w:pPr>
              <w:autoSpaceDE w:val="0"/>
              <w:autoSpaceDN w:val="0"/>
              <w:adjustRightInd w:val="0"/>
              <w:spacing w:line="400" w:lineRule="exact"/>
              <w:jc w:val="center"/>
              <w:rPr>
                <w:color w:val="auto"/>
                <w:kern w:val="0"/>
                <w:sz w:val="24"/>
                <w:szCs w:val="24"/>
                <w:highlight w:val="none"/>
              </w:rPr>
            </w:pPr>
            <w:r>
              <w:rPr>
                <w:rFonts w:hint="eastAsia"/>
                <w:color w:val="auto"/>
                <w:sz w:val="24"/>
                <w:szCs w:val="24"/>
                <w:highlight w:val="none"/>
                <w:lang w:val="en-US" w:eastAsia="zh-CN"/>
              </w:rPr>
              <w:t>280mg</w:t>
            </w:r>
            <w:r>
              <w:rPr>
                <w:rFonts w:hint="eastAsia" w:ascii="Times New Roman" w:hAnsi="Times New Roman" w:eastAsia="宋体" w:cs="Times New Roman"/>
                <w:bCs/>
                <w:color w:val="auto"/>
                <w:sz w:val="24"/>
                <w:szCs w:val="24"/>
                <w:highlight w:val="none"/>
                <w:lang w:val="en-US" w:eastAsia="zh-CN"/>
              </w:rPr>
              <w:t>/m</w:t>
            </w:r>
            <w:r>
              <w:rPr>
                <w:rFonts w:hint="eastAsia" w:ascii="Times New Roman" w:hAnsi="Times New Roman" w:eastAsia="宋体" w:cs="Times New Roman"/>
                <w:bCs/>
                <w:color w:val="auto"/>
                <w:sz w:val="24"/>
                <w:szCs w:val="24"/>
                <w:highlight w:val="none"/>
                <w:vertAlign w:val="superscript"/>
                <w:lang w:val="en-US" w:eastAsia="zh-CN"/>
              </w:rPr>
              <w:t>3</w:t>
            </w:r>
            <w:r>
              <w:rPr>
                <w:rFonts w:hint="eastAsia"/>
                <w:color w:val="auto"/>
                <w:kern w:val="0"/>
                <w:sz w:val="24"/>
                <w:szCs w:val="24"/>
                <w:highlight w:val="none"/>
              </w:rPr>
              <w:t>，</w:t>
            </w:r>
            <w:r>
              <w:rPr>
                <w:rFonts w:hint="eastAsia"/>
                <w:color w:val="auto"/>
                <w:kern w:val="0"/>
                <w:sz w:val="24"/>
                <w:szCs w:val="24"/>
                <w:highlight w:val="none"/>
                <w:lang w:val="en-US" w:eastAsia="zh-CN"/>
              </w:rPr>
              <w:t>0.28</w:t>
            </w:r>
            <w:r>
              <w:rPr>
                <w:rFonts w:hint="eastAsia"/>
                <w:color w:val="auto"/>
                <w:kern w:val="0"/>
                <w:sz w:val="24"/>
                <w:szCs w:val="24"/>
                <w:highlight w:val="none"/>
              </w:rPr>
              <w:t>t/a</w:t>
            </w:r>
          </w:p>
        </w:tc>
        <w:tc>
          <w:tcPr>
            <w:tcW w:w="2891" w:type="dxa"/>
            <w:vAlign w:val="center"/>
          </w:tcPr>
          <w:p>
            <w:pPr>
              <w:jc w:val="center"/>
              <w:rPr>
                <w:rFonts w:hint="eastAsia" w:eastAsia="宋体"/>
                <w:color w:val="auto"/>
                <w:sz w:val="24"/>
                <w:szCs w:val="24"/>
                <w:highlight w:val="none"/>
                <w:lang w:eastAsia="zh-CN"/>
              </w:rPr>
            </w:pPr>
            <w:r>
              <w:rPr>
                <w:rFonts w:hint="eastAsia"/>
                <w:color w:val="auto"/>
                <w:sz w:val="24"/>
                <w:szCs w:val="24"/>
                <w:highlight w:val="none"/>
                <w:lang w:val="en-US" w:eastAsia="zh-CN"/>
              </w:rPr>
              <w:t>2.8mg</w:t>
            </w:r>
            <w:r>
              <w:rPr>
                <w:rFonts w:hint="eastAsia" w:ascii="Times New Roman" w:hAnsi="Times New Roman" w:eastAsia="宋体" w:cs="Times New Roman"/>
                <w:bCs/>
                <w:color w:val="auto"/>
                <w:sz w:val="24"/>
                <w:szCs w:val="24"/>
                <w:highlight w:val="none"/>
                <w:lang w:val="en-US" w:eastAsia="zh-CN"/>
              </w:rPr>
              <w:t>/m</w:t>
            </w:r>
            <w:r>
              <w:rPr>
                <w:rFonts w:hint="eastAsia" w:ascii="Times New Roman" w:hAnsi="Times New Roman" w:eastAsia="宋体" w:cs="Times New Roman"/>
                <w:bCs/>
                <w:color w:val="auto"/>
                <w:sz w:val="24"/>
                <w:szCs w:val="24"/>
                <w:highlight w:val="none"/>
                <w:vertAlign w:val="superscript"/>
                <w:lang w:val="en-US" w:eastAsia="zh-CN"/>
              </w:rPr>
              <w:t>3</w:t>
            </w:r>
            <w:r>
              <w:rPr>
                <w:rFonts w:hint="eastAsia"/>
                <w:color w:val="auto"/>
                <w:kern w:val="0"/>
                <w:sz w:val="24"/>
                <w:szCs w:val="24"/>
                <w:highlight w:val="none"/>
              </w:rPr>
              <w:t>，</w:t>
            </w:r>
            <w:r>
              <w:rPr>
                <w:rFonts w:hint="eastAsia"/>
                <w:color w:val="auto"/>
                <w:kern w:val="0"/>
                <w:sz w:val="24"/>
                <w:szCs w:val="24"/>
                <w:highlight w:val="none"/>
                <w:lang w:val="en-US" w:eastAsia="zh-CN"/>
              </w:rPr>
              <w:t>0.00224</w:t>
            </w:r>
            <w:r>
              <w:rPr>
                <w:rFonts w:hint="eastAsia"/>
                <w:color w:val="auto"/>
                <w:kern w:val="0"/>
                <w:sz w:val="24"/>
                <w:szCs w:val="24"/>
                <w:highlight w:val="none"/>
              </w:rPr>
              <w:t>t/a</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470" w:hRule="atLeast"/>
          <w:jc w:val="center"/>
        </w:trPr>
        <w:tc>
          <w:tcPr>
            <w:tcW w:w="1078" w:type="dxa"/>
            <w:vMerge w:val="continue"/>
            <w:vAlign w:val="center"/>
          </w:tcPr>
          <w:p>
            <w:pPr>
              <w:autoSpaceDE w:val="0"/>
              <w:autoSpaceDN w:val="0"/>
              <w:adjustRightInd w:val="0"/>
              <w:spacing w:line="400" w:lineRule="exact"/>
              <w:jc w:val="center"/>
              <w:rPr>
                <w:b/>
                <w:color w:val="auto"/>
                <w:kern w:val="0"/>
                <w:sz w:val="24"/>
                <w:szCs w:val="24"/>
                <w:highlight w:val="none"/>
              </w:rPr>
            </w:pPr>
          </w:p>
        </w:tc>
        <w:tc>
          <w:tcPr>
            <w:tcW w:w="1750" w:type="dxa"/>
            <w:vAlign w:val="center"/>
          </w:tcPr>
          <w:p>
            <w:pPr>
              <w:tabs>
                <w:tab w:val="left" w:pos="2604"/>
              </w:tabs>
              <w:jc w:val="center"/>
              <w:rPr>
                <w:rFonts w:hint="eastAsia"/>
                <w:color w:val="auto"/>
                <w:sz w:val="24"/>
                <w:szCs w:val="24"/>
                <w:highlight w:val="none"/>
                <w:lang w:val="en-US" w:eastAsia="zh-CN"/>
              </w:rPr>
            </w:pPr>
            <w:r>
              <w:rPr>
                <w:rFonts w:hint="eastAsia"/>
                <w:color w:val="auto"/>
                <w:sz w:val="24"/>
                <w:szCs w:val="24"/>
                <w:highlight w:val="none"/>
                <w:lang w:val="en-US" w:eastAsia="zh-CN"/>
              </w:rPr>
              <w:t>自制抛光机</w:t>
            </w:r>
          </w:p>
        </w:tc>
        <w:tc>
          <w:tcPr>
            <w:tcW w:w="1482" w:type="dxa"/>
            <w:vAlign w:val="center"/>
          </w:tcPr>
          <w:p>
            <w:pPr>
              <w:tabs>
                <w:tab w:val="left" w:pos="2604"/>
              </w:tabs>
              <w:jc w:val="center"/>
              <w:rPr>
                <w:rFonts w:ascii="Times New Roman" w:hAnsi="Times New Roman" w:eastAsia="宋体" w:cs="Times New Roman"/>
                <w:color w:val="auto"/>
                <w:kern w:val="2"/>
                <w:sz w:val="24"/>
                <w:szCs w:val="24"/>
                <w:highlight w:val="none"/>
                <w:lang w:val="en-US" w:eastAsia="zh-CN" w:bidi="ar-SA"/>
              </w:rPr>
            </w:pPr>
            <w:r>
              <w:rPr>
                <w:color w:val="auto"/>
                <w:sz w:val="24"/>
                <w:szCs w:val="24"/>
                <w:highlight w:val="none"/>
              </w:rPr>
              <w:t>颗粒物</w:t>
            </w:r>
          </w:p>
        </w:tc>
        <w:tc>
          <w:tcPr>
            <w:tcW w:w="2154" w:type="dxa"/>
            <w:vAlign w:val="center"/>
          </w:tcPr>
          <w:p>
            <w:pPr>
              <w:autoSpaceDE w:val="0"/>
              <w:autoSpaceDN w:val="0"/>
              <w:adjustRightInd w:val="0"/>
              <w:spacing w:line="400" w:lineRule="exact"/>
              <w:jc w:val="center"/>
              <w:rPr>
                <w:rFonts w:hint="eastAsia" w:ascii="Times New Roman" w:hAnsi="Times New Roman" w:eastAsia="宋体" w:cs="Times New Roman"/>
                <w:color w:val="auto"/>
                <w:kern w:val="0"/>
                <w:sz w:val="24"/>
                <w:szCs w:val="24"/>
                <w:highlight w:val="none"/>
                <w:lang w:val="en-US" w:eastAsia="zh-CN" w:bidi="ar-SA"/>
              </w:rPr>
            </w:pPr>
            <w:r>
              <w:rPr>
                <w:rFonts w:hint="eastAsia"/>
                <w:color w:val="auto"/>
                <w:sz w:val="24"/>
                <w:szCs w:val="24"/>
                <w:highlight w:val="none"/>
                <w:lang w:val="en-US" w:eastAsia="zh-CN"/>
              </w:rPr>
              <w:t>150mg</w:t>
            </w:r>
            <w:r>
              <w:rPr>
                <w:rFonts w:hint="eastAsia" w:ascii="Times New Roman" w:hAnsi="Times New Roman" w:eastAsia="宋体" w:cs="Times New Roman"/>
                <w:bCs/>
                <w:color w:val="auto"/>
                <w:sz w:val="24"/>
                <w:szCs w:val="24"/>
                <w:highlight w:val="none"/>
                <w:lang w:val="en-US" w:eastAsia="zh-CN"/>
              </w:rPr>
              <w:t>/m</w:t>
            </w:r>
            <w:r>
              <w:rPr>
                <w:rFonts w:hint="eastAsia" w:ascii="Times New Roman" w:hAnsi="Times New Roman" w:eastAsia="宋体" w:cs="Times New Roman"/>
                <w:bCs/>
                <w:color w:val="auto"/>
                <w:sz w:val="24"/>
                <w:szCs w:val="24"/>
                <w:highlight w:val="none"/>
                <w:vertAlign w:val="superscript"/>
                <w:lang w:val="en-US" w:eastAsia="zh-CN"/>
              </w:rPr>
              <w:t>3</w:t>
            </w:r>
            <w:r>
              <w:rPr>
                <w:rFonts w:hint="eastAsia"/>
                <w:color w:val="auto"/>
                <w:kern w:val="0"/>
                <w:sz w:val="24"/>
                <w:szCs w:val="24"/>
                <w:highlight w:val="none"/>
              </w:rPr>
              <w:t>，</w:t>
            </w:r>
            <w:r>
              <w:rPr>
                <w:rFonts w:hint="eastAsia"/>
                <w:color w:val="auto"/>
                <w:kern w:val="0"/>
                <w:sz w:val="24"/>
                <w:szCs w:val="24"/>
                <w:highlight w:val="none"/>
                <w:lang w:val="en-US" w:eastAsia="zh-CN"/>
              </w:rPr>
              <w:t>0.09</w:t>
            </w:r>
            <w:r>
              <w:rPr>
                <w:rFonts w:hint="eastAsia"/>
                <w:color w:val="auto"/>
                <w:kern w:val="0"/>
                <w:sz w:val="24"/>
                <w:szCs w:val="24"/>
                <w:highlight w:val="none"/>
              </w:rPr>
              <w:t>t/a</w:t>
            </w:r>
          </w:p>
        </w:tc>
        <w:tc>
          <w:tcPr>
            <w:tcW w:w="2891" w:type="dxa"/>
            <w:vAlign w:val="center"/>
          </w:tcPr>
          <w:p>
            <w:pPr>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val="en-US" w:eastAsia="zh-CN"/>
              </w:rPr>
              <w:t>1.5mg</w:t>
            </w:r>
            <w:r>
              <w:rPr>
                <w:rFonts w:hint="eastAsia" w:ascii="Times New Roman" w:hAnsi="Times New Roman" w:eastAsia="宋体" w:cs="Times New Roman"/>
                <w:bCs/>
                <w:color w:val="auto"/>
                <w:sz w:val="24"/>
                <w:szCs w:val="24"/>
                <w:highlight w:val="none"/>
                <w:lang w:val="en-US" w:eastAsia="zh-CN"/>
              </w:rPr>
              <w:t>/m</w:t>
            </w:r>
            <w:r>
              <w:rPr>
                <w:rFonts w:hint="eastAsia" w:ascii="Times New Roman" w:hAnsi="Times New Roman" w:eastAsia="宋体" w:cs="Times New Roman"/>
                <w:bCs/>
                <w:color w:val="auto"/>
                <w:sz w:val="24"/>
                <w:szCs w:val="24"/>
                <w:highlight w:val="none"/>
                <w:vertAlign w:val="superscript"/>
                <w:lang w:val="en-US" w:eastAsia="zh-CN"/>
              </w:rPr>
              <w:t>3</w:t>
            </w:r>
            <w:r>
              <w:rPr>
                <w:rFonts w:hint="eastAsia"/>
                <w:color w:val="auto"/>
                <w:kern w:val="0"/>
                <w:sz w:val="24"/>
                <w:szCs w:val="24"/>
                <w:highlight w:val="none"/>
              </w:rPr>
              <w:t>，</w:t>
            </w:r>
            <w:r>
              <w:rPr>
                <w:rFonts w:hint="eastAsia"/>
                <w:color w:val="auto"/>
                <w:kern w:val="0"/>
                <w:sz w:val="24"/>
                <w:szCs w:val="24"/>
                <w:highlight w:val="none"/>
                <w:lang w:val="en-US" w:eastAsia="zh-CN"/>
              </w:rPr>
              <w:t>0.0009</w:t>
            </w:r>
            <w:r>
              <w:rPr>
                <w:rFonts w:hint="eastAsia"/>
                <w:color w:val="auto"/>
                <w:kern w:val="0"/>
                <w:sz w:val="24"/>
                <w:szCs w:val="24"/>
                <w:highlight w:val="none"/>
              </w:rPr>
              <w:t>t/a</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470" w:hRule="atLeast"/>
          <w:jc w:val="center"/>
        </w:trPr>
        <w:tc>
          <w:tcPr>
            <w:tcW w:w="1078" w:type="dxa"/>
            <w:vMerge w:val="continue"/>
            <w:vAlign w:val="center"/>
          </w:tcPr>
          <w:p>
            <w:pPr>
              <w:autoSpaceDE w:val="0"/>
              <w:autoSpaceDN w:val="0"/>
              <w:adjustRightInd w:val="0"/>
              <w:spacing w:line="400" w:lineRule="exact"/>
              <w:jc w:val="center"/>
              <w:rPr>
                <w:b/>
                <w:color w:val="auto"/>
                <w:kern w:val="0"/>
                <w:sz w:val="24"/>
                <w:szCs w:val="24"/>
                <w:highlight w:val="none"/>
              </w:rPr>
            </w:pPr>
          </w:p>
        </w:tc>
        <w:tc>
          <w:tcPr>
            <w:tcW w:w="1750" w:type="dxa"/>
            <w:vAlign w:val="center"/>
          </w:tcPr>
          <w:p>
            <w:pPr>
              <w:tabs>
                <w:tab w:val="left" w:pos="2604"/>
              </w:tabs>
              <w:jc w:val="center"/>
              <w:rPr>
                <w:rFonts w:hint="eastAsia"/>
                <w:color w:val="auto"/>
                <w:sz w:val="24"/>
                <w:szCs w:val="24"/>
                <w:highlight w:val="none"/>
                <w:lang w:eastAsia="zh-CN"/>
              </w:rPr>
            </w:pPr>
            <w:r>
              <w:rPr>
                <w:rFonts w:hint="eastAsia"/>
                <w:color w:val="auto"/>
                <w:sz w:val="24"/>
                <w:szCs w:val="24"/>
                <w:highlight w:val="none"/>
                <w:lang w:val="en-US" w:eastAsia="zh-CN"/>
              </w:rPr>
              <w:t>数控火焰切割机、自制抛光机（无组织）</w:t>
            </w:r>
          </w:p>
        </w:tc>
        <w:tc>
          <w:tcPr>
            <w:tcW w:w="1482" w:type="dxa"/>
            <w:vAlign w:val="center"/>
          </w:tcPr>
          <w:p>
            <w:pPr>
              <w:tabs>
                <w:tab w:val="left" w:pos="2604"/>
              </w:tabs>
              <w:jc w:val="center"/>
              <w:rPr>
                <w:rFonts w:hint="eastAsia" w:eastAsia="宋体"/>
                <w:color w:val="auto"/>
                <w:sz w:val="24"/>
                <w:szCs w:val="24"/>
                <w:highlight w:val="none"/>
                <w:lang w:eastAsia="zh-CN"/>
              </w:rPr>
            </w:pPr>
            <w:r>
              <w:rPr>
                <w:rFonts w:hint="eastAsia"/>
                <w:color w:val="auto"/>
                <w:sz w:val="24"/>
                <w:szCs w:val="24"/>
                <w:highlight w:val="none"/>
                <w:lang w:eastAsia="zh-CN"/>
              </w:rPr>
              <w:t>颗粒物</w:t>
            </w:r>
          </w:p>
        </w:tc>
        <w:tc>
          <w:tcPr>
            <w:tcW w:w="2154" w:type="dxa"/>
            <w:vAlign w:val="center"/>
          </w:tcPr>
          <w:p>
            <w:pPr>
              <w:autoSpaceDE w:val="0"/>
              <w:autoSpaceDN w:val="0"/>
              <w:adjustRightInd w:val="0"/>
              <w:spacing w:line="400" w:lineRule="exact"/>
              <w:jc w:val="center"/>
              <w:rPr>
                <w:rFonts w:hint="eastAsia" w:ascii="Times New Roman" w:hAnsi="Times New Roman" w:eastAsia="宋体" w:cs="Times New Roman"/>
                <w:color w:val="auto"/>
                <w:kern w:val="0"/>
                <w:sz w:val="24"/>
                <w:szCs w:val="24"/>
                <w:highlight w:val="none"/>
                <w:lang w:val="en-US" w:eastAsia="zh-CN" w:bidi="ar-SA"/>
              </w:rPr>
            </w:pPr>
            <w:r>
              <w:rPr>
                <w:rFonts w:hint="eastAsia"/>
                <w:color w:val="auto"/>
                <w:sz w:val="24"/>
                <w:szCs w:val="24"/>
                <w:highlight w:val="none"/>
                <w:lang w:val="en-US" w:eastAsia="zh-CN"/>
              </w:rPr>
              <w:t>/</w:t>
            </w:r>
          </w:p>
        </w:tc>
        <w:tc>
          <w:tcPr>
            <w:tcW w:w="2891" w:type="dxa"/>
            <w:vAlign w:val="center"/>
          </w:tcPr>
          <w:p>
            <w:pPr>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kern w:val="0"/>
                <w:sz w:val="24"/>
                <w:szCs w:val="24"/>
                <w:highlight w:val="none"/>
                <w:lang w:val="en-US" w:eastAsia="zh-CN"/>
              </w:rPr>
              <w:t>0.0132</w:t>
            </w:r>
            <w:r>
              <w:rPr>
                <w:rFonts w:hint="eastAsia"/>
                <w:color w:val="auto"/>
                <w:kern w:val="0"/>
                <w:sz w:val="24"/>
                <w:szCs w:val="24"/>
                <w:highlight w:val="none"/>
              </w:rPr>
              <w:t>t/a</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0" w:hRule="atLeast"/>
          <w:jc w:val="center"/>
        </w:trPr>
        <w:tc>
          <w:tcPr>
            <w:tcW w:w="1078" w:type="dxa"/>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b/>
                <w:color w:val="auto"/>
                <w:kern w:val="0"/>
                <w:sz w:val="24"/>
                <w:szCs w:val="24"/>
                <w:highlight w:val="none"/>
              </w:rPr>
            </w:pPr>
            <w:r>
              <w:rPr>
                <w:b/>
                <w:color w:val="auto"/>
                <w:kern w:val="0"/>
                <w:sz w:val="24"/>
                <w:szCs w:val="24"/>
                <w:highlight w:val="none"/>
              </w:rPr>
              <w:t>水污</w:t>
            </w:r>
          </w:p>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b/>
                <w:color w:val="auto"/>
                <w:kern w:val="0"/>
                <w:sz w:val="24"/>
                <w:szCs w:val="24"/>
                <w:highlight w:val="none"/>
              </w:rPr>
            </w:pPr>
            <w:r>
              <w:rPr>
                <w:b/>
                <w:color w:val="auto"/>
                <w:kern w:val="0"/>
                <w:sz w:val="24"/>
                <w:szCs w:val="24"/>
                <w:highlight w:val="none"/>
              </w:rPr>
              <w:t>染物</w:t>
            </w:r>
          </w:p>
        </w:tc>
        <w:tc>
          <w:tcPr>
            <w:tcW w:w="1750" w:type="dxa"/>
            <w:tcBorders>
              <w:top w:val="single" w:color="auto" w:sz="4" w:space="0"/>
              <w:bottom w:val="single" w:color="auto" w:sz="4" w:space="0"/>
            </w:tcBorders>
            <w:vAlign w:val="center"/>
          </w:tcPr>
          <w:p>
            <w:pPr>
              <w:jc w:val="center"/>
              <w:rPr>
                <w:color w:val="auto"/>
                <w:sz w:val="24"/>
                <w:szCs w:val="24"/>
                <w:highlight w:val="none"/>
              </w:rPr>
            </w:pPr>
            <w:r>
              <w:rPr>
                <w:rFonts w:hint="eastAsia"/>
                <w:color w:val="auto"/>
                <w:sz w:val="24"/>
                <w:szCs w:val="24"/>
                <w:highlight w:val="none"/>
                <w:lang w:val="en-US" w:eastAsia="zh-CN"/>
              </w:rPr>
              <w:t>/</w:t>
            </w:r>
          </w:p>
        </w:tc>
        <w:tc>
          <w:tcPr>
            <w:tcW w:w="1482" w:type="dxa"/>
            <w:tcBorders>
              <w:bottom w:val="single" w:color="auto" w:sz="4" w:space="0"/>
            </w:tcBorders>
            <w:vAlign w:val="center"/>
          </w:tcPr>
          <w:p>
            <w:pPr>
              <w:autoSpaceDE w:val="0"/>
              <w:autoSpaceDN w:val="0"/>
              <w:adjustRightInd w:val="0"/>
              <w:jc w:val="center"/>
              <w:rPr>
                <w:color w:val="auto"/>
                <w:kern w:val="0"/>
                <w:sz w:val="24"/>
                <w:szCs w:val="24"/>
                <w:highlight w:val="none"/>
              </w:rPr>
            </w:pPr>
            <w:r>
              <w:rPr>
                <w:rFonts w:hint="eastAsia"/>
                <w:color w:val="auto"/>
                <w:sz w:val="24"/>
                <w:szCs w:val="24"/>
                <w:highlight w:val="none"/>
                <w:lang w:val="en-US" w:eastAsia="zh-CN"/>
              </w:rPr>
              <w:t>/</w:t>
            </w:r>
          </w:p>
        </w:tc>
        <w:tc>
          <w:tcPr>
            <w:tcW w:w="2154" w:type="dxa"/>
            <w:tcBorders>
              <w:bottom w:val="single" w:color="auto" w:sz="4" w:space="0"/>
            </w:tcBorders>
            <w:vAlign w:val="center"/>
          </w:tcPr>
          <w:p>
            <w:pPr>
              <w:jc w:val="center"/>
              <w:rPr>
                <w:rFonts w:hint="eastAsia" w:eastAsia="宋体"/>
                <w:color w:val="auto"/>
                <w:sz w:val="24"/>
                <w:szCs w:val="24"/>
                <w:highlight w:val="none"/>
                <w:lang w:eastAsia="zh-CN"/>
              </w:rPr>
            </w:pPr>
            <w:r>
              <w:rPr>
                <w:rFonts w:hint="eastAsia"/>
                <w:color w:val="auto"/>
                <w:sz w:val="24"/>
                <w:szCs w:val="24"/>
                <w:highlight w:val="none"/>
                <w:lang w:val="en-US" w:eastAsia="zh-CN"/>
              </w:rPr>
              <w:t>/</w:t>
            </w:r>
          </w:p>
        </w:tc>
        <w:tc>
          <w:tcPr>
            <w:tcW w:w="2891" w:type="dxa"/>
            <w:tcBorders>
              <w:bottom w:val="single" w:color="auto" w:sz="4" w:space="0"/>
            </w:tcBorders>
            <w:vAlign w:val="center"/>
          </w:tcPr>
          <w:p>
            <w:pPr>
              <w:autoSpaceDE w:val="0"/>
              <w:autoSpaceDN w:val="0"/>
              <w:adjustRightInd w:val="0"/>
              <w:jc w:val="center"/>
              <w:rPr>
                <w:rFonts w:hint="eastAsia" w:eastAsia="宋体"/>
                <w:color w:val="auto"/>
                <w:kern w:val="0"/>
                <w:sz w:val="24"/>
                <w:szCs w:val="24"/>
                <w:highlight w:val="none"/>
                <w:lang w:eastAsia="zh-CN"/>
              </w:rPr>
            </w:pPr>
            <w:r>
              <w:rPr>
                <w:rFonts w:hint="eastAsia"/>
                <w:color w:val="auto"/>
                <w:sz w:val="24"/>
                <w:szCs w:val="24"/>
                <w:highlight w:val="none"/>
                <w:lang w:val="en-US" w:eastAsia="zh-CN"/>
              </w:rPr>
              <w:t>/</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0" w:hRule="atLeast"/>
          <w:jc w:val="center"/>
        </w:trPr>
        <w:tc>
          <w:tcPr>
            <w:tcW w:w="1078" w:type="dxa"/>
            <w:vMerge w:val="restart"/>
            <w:vAlign w:val="center"/>
          </w:tcPr>
          <w:p>
            <w:pPr>
              <w:autoSpaceDE w:val="0"/>
              <w:autoSpaceDN w:val="0"/>
              <w:adjustRightInd w:val="0"/>
              <w:spacing w:line="400" w:lineRule="exact"/>
              <w:jc w:val="center"/>
              <w:rPr>
                <w:b/>
                <w:color w:val="auto"/>
                <w:kern w:val="0"/>
                <w:sz w:val="24"/>
                <w:szCs w:val="24"/>
                <w:highlight w:val="none"/>
              </w:rPr>
            </w:pPr>
            <w:r>
              <w:rPr>
                <w:b/>
                <w:color w:val="auto"/>
                <w:kern w:val="0"/>
                <w:sz w:val="24"/>
                <w:szCs w:val="24"/>
                <w:highlight w:val="none"/>
              </w:rPr>
              <w:t>固</w:t>
            </w:r>
          </w:p>
          <w:p>
            <w:pPr>
              <w:autoSpaceDE w:val="0"/>
              <w:autoSpaceDN w:val="0"/>
              <w:adjustRightInd w:val="0"/>
              <w:spacing w:line="400" w:lineRule="exact"/>
              <w:jc w:val="center"/>
              <w:rPr>
                <w:b/>
                <w:color w:val="auto"/>
                <w:kern w:val="0"/>
                <w:sz w:val="24"/>
                <w:szCs w:val="24"/>
                <w:highlight w:val="none"/>
              </w:rPr>
            </w:pPr>
            <w:r>
              <w:rPr>
                <w:b/>
                <w:color w:val="auto"/>
                <w:kern w:val="0"/>
                <w:sz w:val="24"/>
                <w:szCs w:val="24"/>
                <w:highlight w:val="none"/>
              </w:rPr>
              <w:t>体</w:t>
            </w:r>
          </w:p>
          <w:p>
            <w:pPr>
              <w:autoSpaceDE w:val="0"/>
              <w:autoSpaceDN w:val="0"/>
              <w:adjustRightInd w:val="0"/>
              <w:spacing w:line="400" w:lineRule="exact"/>
              <w:jc w:val="center"/>
              <w:rPr>
                <w:b/>
                <w:color w:val="auto"/>
                <w:kern w:val="0"/>
                <w:sz w:val="24"/>
                <w:szCs w:val="24"/>
                <w:highlight w:val="none"/>
              </w:rPr>
            </w:pPr>
            <w:r>
              <w:rPr>
                <w:b/>
                <w:color w:val="auto"/>
                <w:kern w:val="0"/>
                <w:sz w:val="24"/>
                <w:szCs w:val="24"/>
                <w:highlight w:val="none"/>
              </w:rPr>
              <w:t>废</w:t>
            </w:r>
          </w:p>
          <w:p>
            <w:pPr>
              <w:spacing w:line="400" w:lineRule="exact"/>
              <w:jc w:val="center"/>
              <w:rPr>
                <w:b/>
                <w:color w:val="auto"/>
                <w:kern w:val="24"/>
                <w:sz w:val="24"/>
                <w:szCs w:val="24"/>
                <w:highlight w:val="none"/>
              </w:rPr>
            </w:pPr>
            <w:r>
              <w:rPr>
                <w:b/>
                <w:color w:val="auto"/>
                <w:kern w:val="0"/>
                <w:sz w:val="24"/>
                <w:szCs w:val="24"/>
                <w:highlight w:val="none"/>
              </w:rPr>
              <w:t>物</w:t>
            </w:r>
          </w:p>
        </w:tc>
        <w:tc>
          <w:tcPr>
            <w:tcW w:w="1750" w:type="dxa"/>
            <w:vAlign w:val="center"/>
          </w:tcPr>
          <w:p>
            <w:pPr>
              <w:tabs>
                <w:tab w:val="left" w:pos="2604"/>
              </w:tabs>
              <w:jc w:val="center"/>
              <w:rPr>
                <w:rFonts w:hint="default" w:ascii="Times New Roman" w:hAnsi="Times New Roman" w:eastAsia="宋体" w:cs="Times New Roman"/>
                <w:color w:val="auto"/>
                <w:kern w:val="2"/>
                <w:sz w:val="24"/>
                <w:szCs w:val="24"/>
                <w:highlight w:val="none"/>
                <w:lang w:val="en-US" w:eastAsia="zh-CN" w:bidi="ar-SA"/>
              </w:rPr>
            </w:pPr>
            <w:r>
              <w:rPr>
                <w:color w:val="auto"/>
                <w:sz w:val="24"/>
                <w:szCs w:val="24"/>
                <w:highlight w:val="none"/>
              </w:rPr>
              <w:t>下料、</w:t>
            </w:r>
            <w:r>
              <w:rPr>
                <w:rFonts w:hint="eastAsia"/>
                <w:color w:val="auto"/>
                <w:sz w:val="24"/>
                <w:szCs w:val="24"/>
                <w:highlight w:val="none"/>
                <w:lang w:eastAsia="zh-CN"/>
              </w:rPr>
              <w:t>机加工</w:t>
            </w:r>
            <w:r>
              <w:rPr>
                <w:rFonts w:hint="eastAsia"/>
                <w:color w:val="auto"/>
                <w:sz w:val="24"/>
                <w:szCs w:val="24"/>
                <w:highlight w:val="none"/>
                <w:lang w:val="en-US" w:eastAsia="zh-CN"/>
              </w:rPr>
              <w:t>(技改项目)</w:t>
            </w:r>
          </w:p>
        </w:tc>
        <w:tc>
          <w:tcPr>
            <w:tcW w:w="1482" w:type="dxa"/>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color w:val="auto"/>
                <w:sz w:val="24"/>
                <w:szCs w:val="24"/>
                <w:highlight w:val="none"/>
              </w:rPr>
              <w:t>下脚料</w:t>
            </w:r>
          </w:p>
        </w:tc>
        <w:tc>
          <w:tcPr>
            <w:tcW w:w="2154" w:type="dxa"/>
            <w:vAlign w:val="center"/>
          </w:tcPr>
          <w:p>
            <w:pPr>
              <w:overflowPunct w:val="0"/>
              <w:autoSpaceDE w:val="0"/>
              <w:autoSpaceDN w:val="0"/>
              <w:adjustRightInd w:val="0"/>
              <w:snapToGrid w:val="0"/>
              <w:spacing w:line="0" w:lineRule="atLeast"/>
              <w:jc w:val="center"/>
              <w:rPr>
                <w:rFonts w:hint="default" w:ascii="Times New Roman" w:hAnsi="Times New Roman" w:eastAsia="宋体" w:cs="Times New Roman"/>
                <w:color w:val="auto"/>
                <w:spacing w:val="6"/>
                <w:kern w:val="2"/>
                <w:sz w:val="24"/>
                <w:szCs w:val="24"/>
                <w:highlight w:val="none"/>
                <w:lang w:val="en-US" w:eastAsia="zh-CN" w:bidi="ar-SA"/>
              </w:rPr>
            </w:pPr>
            <w:r>
              <w:rPr>
                <w:rFonts w:hint="eastAsia" w:cs="Times New Roman"/>
                <w:color w:val="auto"/>
                <w:spacing w:val="6"/>
                <w:kern w:val="2"/>
                <w:sz w:val="24"/>
                <w:szCs w:val="24"/>
                <w:highlight w:val="none"/>
                <w:lang w:val="en-US" w:eastAsia="zh-CN" w:bidi="ar-SA"/>
              </w:rPr>
              <w:t>2.0t/a</w:t>
            </w:r>
          </w:p>
        </w:tc>
        <w:tc>
          <w:tcPr>
            <w:tcW w:w="2891" w:type="dxa"/>
            <w:vAlign w:val="center"/>
          </w:tcPr>
          <w:p>
            <w:pPr>
              <w:spacing w:line="0" w:lineRule="atLeast"/>
              <w:jc w:val="center"/>
              <w:rPr>
                <w:rFonts w:ascii="Times New Roman" w:hAnsi="Times New Roman" w:eastAsia="宋体" w:cs="Times New Roman"/>
                <w:color w:val="auto"/>
                <w:spacing w:val="6"/>
                <w:kern w:val="2"/>
                <w:sz w:val="24"/>
                <w:szCs w:val="24"/>
                <w:highlight w:val="none"/>
                <w:lang w:val="en-US" w:eastAsia="zh-CN" w:bidi="ar-SA"/>
              </w:rPr>
            </w:pPr>
            <w:r>
              <w:rPr>
                <w:color w:val="auto"/>
                <w:sz w:val="24"/>
                <w:szCs w:val="24"/>
                <w:highlight w:val="none"/>
              </w:rPr>
              <w:t>集中收集后外售</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0" w:hRule="atLeast"/>
          <w:jc w:val="center"/>
        </w:trPr>
        <w:tc>
          <w:tcPr>
            <w:tcW w:w="1078" w:type="dxa"/>
            <w:vMerge w:val="continue"/>
            <w:vAlign w:val="center"/>
          </w:tcPr>
          <w:p>
            <w:pPr>
              <w:spacing w:line="400" w:lineRule="exact"/>
              <w:jc w:val="center"/>
              <w:rPr>
                <w:b/>
                <w:color w:val="auto"/>
                <w:kern w:val="0"/>
                <w:sz w:val="24"/>
                <w:szCs w:val="24"/>
                <w:highlight w:val="none"/>
              </w:rPr>
            </w:pPr>
          </w:p>
        </w:tc>
        <w:tc>
          <w:tcPr>
            <w:tcW w:w="1750" w:type="dxa"/>
            <w:vAlign w:val="center"/>
          </w:tcPr>
          <w:p>
            <w:pPr>
              <w:tabs>
                <w:tab w:val="left" w:pos="2604"/>
              </w:tabs>
              <w:jc w:val="center"/>
              <w:rPr>
                <w:rFonts w:hint="eastAsia" w:eastAsia="宋体"/>
                <w:color w:val="auto"/>
                <w:sz w:val="24"/>
                <w:szCs w:val="24"/>
                <w:highlight w:val="none"/>
                <w:lang w:eastAsia="zh-CN"/>
              </w:rPr>
            </w:pPr>
            <w:r>
              <w:rPr>
                <w:rFonts w:hint="eastAsia"/>
                <w:color w:val="auto"/>
                <w:sz w:val="24"/>
                <w:szCs w:val="24"/>
                <w:highlight w:val="none"/>
                <w:lang w:eastAsia="zh-CN"/>
              </w:rPr>
              <w:t>除尘器</w:t>
            </w:r>
            <w:r>
              <w:rPr>
                <w:rFonts w:hint="eastAsia"/>
                <w:color w:val="auto"/>
                <w:sz w:val="24"/>
                <w:szCs w:val="24"/>
                <w:highlight w:val="none"/>
                <w:lang w:val="en-US" w:eastAsia="zh-CN"/>
              </w:rPr>
              <w:t>(技改项目)</w:t>
            </w:r>
          </w:p>
        </w:tc>
        <w:tc>
          <w:tcPr>
            <w:tcW w:w="1482" w:type="dxa"/>
            <w:vAlign w:val="center"/>
          </w:tcPr>
          <w:p>
            <w:pPr>
              <w:tabs>
                <w:tab w:val="left" w:pos="2604"/>
              </w:tabs>
              <w:jc w:val="center"/>
              <w:rPr>
                <w:rFonts w:hint="eastAsia" w:eastAsia="宋体"/>
                <w:color w:val="auto"/>
                <w:sz w:val="24"/>
                <w:szCs w:val="24"/>
                <w:highlight w:val="none"/>
                <w:lang w:eastAsia="zh-CN"/>
              </w:rPr>
            </w:pPr>
            <w:r>
              <w:rPr>
                <w:rFonts w:hint="eastAsia"/>
                <w:color w:val="auto"/>
                <w:sz w:val="24"/>
                <w:szCs w:val="24"/>
                <w:highlight w:val="none"/>
                <w:lang w:eastAsia="zh-CN"/>
              </w:rPr>
              <w:t>除尘灰</w:t>
            </w:r>
          </w:p>
        </w:tc>
        <w:tc>
          <w:tcPr>
            <w:tcW w:w="2154" w:type="dxa"/>
            <w:vAlign w:val="center"/>
          </w:tcPr>
          <w:p>
            <w:pPr>
              <w:overflowPunct w:val="0"/>
              <w:autoSpaceDE w:val="0"/>
              <w:autoSpaceDN w:val="0"/>
              <w:adjustRightInd w:val="0"/>
              <w:snapToGrid w:val="0"/>
              <w:spacing w:line="0" w:lineRule="atLeast"/>
              <w:jc w:val="center"/>
              <w:rPr>
                <w:rFonts w:hint="default" w:cs="Times New Roman"/>
                <w:color w:val="auto"/>
                <w:spacing w:val="6"/>
                <w:kern w:val="2"/>
                <w:sz w:val="24"/>
                <w:szCs w:val="24"/>
                <w:highlight w:val="none"/>
                <w:lang w:val="en-US" w:eastAsia="zh-CN" w:bidi="ar-SA"/>
              </w:rPr>
            </w:pPr>
            <w:r>
              <w:rPr>
                <w:rFonts w:hint="eastAsia" w:cs="Times New Roman"/>
                <w:color w:val="auto"/>
                <w:spacing w:val="6"/>
                <w:kern w:val="2"/>
                <w:sz w:val="24"/>
                <w:szCs w:val="24"/>
                <w:highlight w:val="none"/>
                <w:lang w:val="en-US" w:eastAsia="zh-CN" w:bidi="ar-SA"/>
              </w:rPr>
              <w:t>0.367t/a</w:t>
            </w:r>
          </w:p>
        </w:tc>
        <w:tc>
          <w:tcPr>
            <w:tcW w:w="2891" w:type="dxa"/>
            <w:vAlign w:val="center"/>
          </w:tcPr>
          <w:p>
            <w:pPr>
              <w:spacing w:line="0" w:lineRule="atLeast"/>
              <w:jc w:val="center"/>
              <w:rPr>
                <w:color w:val="auto"/>
                <w:sz w:val="24"/>
                <w:szCs w:val="24"/>
                <w:highlight w:val="none"/>
              </w:rPr>
            </w:pPr>
            <w:r>
              <w:rPr>
                <w:color w:val="auto"/>
                <w:sz w:val="24"/>
                <w:szCs w:val="24"/>
                <w:highlight w:val="none"/>
              </w:rPr>
              <w:t>集中收集后外售</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0" w:hRule="atLeast"/>
          <w:jc w:val="center"/>
        </w:trPr>
        <w:tc>
          <w:tcPr>
            <w:tcW w:w="1078" w:type="dxa"/>
            <w:vMerge w:val="continue"/>
            <w:vAlign w:val="center"/>
          </w:tcPr>
          <w:p>
            <w:pPr>
              <w:autoSpaceDE w:val="0"/>
              <w:autoSpaceDN w:val="0"/>
              <w:adjustRightInd w:val="0"/>
              <w:spacing w:line="400" w:lineRule="exact"/>
              <w:jc w:val="center"/>
              <w:rPr>
                <w:b/>
                <w:color w:val="auto"/>
                <w:kern w:val="0"/>
                <w:sz w:val="24"/>
                <w:szCs w:val="24"/>
                <w:highlight w:val="none"/>
              </w:rPr>
            </w:pPr>
          </w:p>
        </w:tc>
        <w:tc>
          <w:tcPr>
            <w:tcW w:w="1750" w:type="dxa"/>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color w:val="auto"/>
                <w:sz w:val="24"/>
                <w:szCs w:val="24"/>
                <w:highlight w:val="none"/>
              </w:rPr>
              <w:t>铣床</w:t>
            </w:r>
            <w:r>
              <w:rPr>
                <w:rFonts w:hint="eastAsia"/>
                <w:color w:val="auto"/>
                <w:sz w:val="24"/>
                <w:szCs w:val="24"/>
                <w:highlight w:val="none"/>
                <w:lang w:eastAsia="zh-CN"/>
              </w:rPr>
              <w:t>、锯床</w:t>
            </w:r>
            <w:r>
              <w:rPr>
                <w:rFonts w:hint="eastAsia"/>
                <w:color w:val="auto"/>
                <w:sz w:val="24"/>
                <w:szCs w:val="24"/>
                <w:highlight w:val="none"/>
                <w:lang w:val="en-US" w:eastAsia="zh-CN"/>
              </w:rPr>
              <w:t>(技改项目)</w:t>
            </w:r>
          </w:p>
        </w:tc>
        <w:tc>
          <w:tcPr>
            <w:tcW w:w="1482" w:type="dxa"/>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color w:val="auto"/>
                <w:sz w:val="24"/>
                <w:szCs w:val="24"/>
                <w:highlight w:val="none"/>
              </w:rPr>
              <w:t>含油金属屑</w:t>
            </w:r>
          </w:p>
        </w:tc>
        <w:tc>
          <w:tcPr>
            <w:tcW w:w="2154" w:type="dxa"/>
            <w:vAlign w:val="center"/>
          </w:tcPr>
          <w:p>
            <w:pPr>
              <w:overflowPunct w:val="0"/>
              <w:autoSpaceDE w:val="0"/>
              <w:autoSpaceDN w:val="0"/>
              <w:adjustRightInd w:val="0"/>
              <w:snapToGrid w:val="0"/>
              <w:spacing w:line="0" w:lineRule="atLeast"/>
              <w:jc w:val="center"/>
              <w:rPr>
                <w:rFonts w:hint="default" w:ascii="Times New Roman" w:hAnsi="Times New Roman" w:eastAsia="宋体" w:cs="Times New Roman"/>
                <w:color w:val="auto"/>
                <w:spacing w:val="6"/>
                <w:kern w:val="2"/>
                <w:sz w:val="24"/>
                <w:szCs w:val="24"/>
                <w:highlight w:val="none"/>
                <w:lang w:val="en-US" w:eastAsia="zh-CN" w:bidi="ar-SA"/>
              </w:rPr>
            </w:pPr>
            <w:r>
              <w:rPr>
                <w:rFonts w:hint="eastAsia" w:cs="Times New Roman"/>
                <w:color w:val="auto"/>
                <w:spacing w:val="6"/>
                <w:kern w:val="2"/>
                <w:sz w:val="24"/>
                <w:szCs w:val="24"/>
                <w:highlight w:val="none"/>
                <w:lang w:val="en-US" w:eastAsia="zh-CN" w:bidi="ar-SA"/>
              </w:rPr>
              <w:t>0.5t/a</w:t>
            </w:r>
          </w:p>
        </w:tc>
        <w:tc>
          <w:tcPr>
            <w:tcW w:w="2891" w:type="dxa"/>
            <w:tcBorders>
              <w:bottom w:val="single" w:color="auto" w:sz="4" w:space="0"/>
            </w:tcBorders>
            <w:vAlign w:val="center"/>
          </w:tcPr>
          <w:p>
            <w:pPr>
              <w:spacing w:line="0" w:lineRule="atLeast"/>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highlight w:val="none"/>
              </w:rPr>
              <w:t>含</w:t>
            </w:r>
            <w:r>
              <w:rPr>
                <w:rFonts w:hint="eastAsia"/>
                <w:color w:val="auto"/>
                <w:highlight w:val="none"/>
                <w:lang w:eastAsia="zh-CN"/>
              </w:rPr>
              <w:t>油</w:t>
            </w:r>
            <w:r>
              <w:rPr>
                <w:rFonts w:hint="eastAsia"/>
                <w:color w:val="auto"/>
                <w:highlight w:val="none"/>
              </w:rPr>
              <w:t>金属屑单独收集后放入离心分离设备内，在离心力的作用下，将金属屑与</w:t>
            </w:r>
            <w:r>
              <w:rPr>
                <w:rFonts w:hint="eastAsia"/>
                <w:color w:val="auto"/>
                <w:highlight w:val="none"/>
                <w:lang w:eastAsia="zh-CN"/>
              </w:rPr>
              <w:t>废</w:t>
            </w:r>
            <w:r>
              <w:rPr>
                <w:rFonts w:hint="eastAsia"/>
                <w:color w:val="auto"/>
                <w:highlight w:val="none"/>
              </w:rPr>
              <w:t>切削液分开，离</w:t>
            </w:r>
            <w:r>
              <w:rPr>
                <w:rFonts w:hint="eastAsia"/>
                <w:color w:val="auto"/>
                <w:highlight w:val="none"/>
                <w:lang w:eastAsia="zh-CN"/>
              </w:rPr>
              <w:t>心</w:t>
            </w:r>
            <w:r>
              <w:rPr>
                <w:rFonts w:hint="eastAsia"/>
                <w:color w:val="auto"/>
                <w:highlight w:val="none"/>
              </w:rPr>
              <w:t>设备收集桶内收集的废切削液倒入回收桶内，加盖储存，可重新回用于生产，</w:t>
            </w:r>
            <w:r>
              <w:rPr>
                <w:rFonts w:hint="eastAsia"/>
                <w:color w:val="auto"/>
                <w:highlight w:val="none"/>
                <w:lang w:eastAsia="zh-CN"/>
              </w:rPr>
              <w:t>定期更换；</w:t>
            </w:r>
            <w:r>
              <w:rPr>
                <w:rFonts w:hint="eastAsia"/>
                <w:color w:val="auto"/>
                <w:highlight w:val="none"/>
              </w:rPr>
              <w:t>离心后的废金属屑袋装收集储存不落地</w:t>
            </w:r>
            <w:r>
              <w:rPr>
                <w:rFonts w:hint="eastAsia"/>
                <w:color w:val="auto"/>
                <w:highlight w:val="none"/>
                <w:lang w:eastAsia="zh-CN"/>
              </w:rPr>
              <w:t>，集中收集后外售</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0" w:hRule="atLeast"/>
          <w:jc w:val="center"/>
        </w:trPr>
        <w:tc>
          <w:tcPr>
            <w:tcW w:w="1078" w:type="dxa"/>
            <w:vMerge w:val="continue"/>
            <w:vAlign w:val="center"/>
          </w:tcPr>
          <w:p>
            <w:pPr>
              <w:autoSpaceDE w:val="0"/>
              <w:autoSpaceDN w:val="0"/>
              <w:adjustRightInd w:val="0"/>
              <w:spacing w:line="400" w:lineRule="exact"/>
              <w:jc w:val="center"/>
              <w:rPr>
                <w:b/>
                <w:color w:val="auto"/>
                <w:kern w:val="0"/>
                <w:sz w:val="24"/>
                <w:szCs w:val="24"/>
                <w:highlight w:val="none"/>
              </w:rPr>
            </w:pPr>
          </w:p>
        </w:tc>
        <w:tc>
          <w:tcPr>
            <w:tcW w:w="1750" w:type="dxa"/>
            <w:vMerge w:val="restart"/>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color w:val="auto"/>
                <w:sz w:val="24"/>
                <w:szCs w:val="24"/>
                <w:highlight w:val="none"/>
              </w:rPr>
              <w:t>设备运转维修</w:t>
            </w:r>
            <w:r>
              <w:rPr>
                <w:rFonts w:hint="eastAsia"/>
                <w:color w:val="auto"/>
                <w:sz w:val="24"/>
                <w:szCs w:val="24"/>
                <w:highlight w:val="none"/>
                <w:lang w:val="en-US" w:eastAsia="zh-CN"/>
              </w:rPr>
              <w:t>(技改项目)</w:t>
            </w:r>
          </w:p>
        </w:tc>
        <w:tc>
          <w:tcPr>
            <w:tcW w:w="1482" w:type="dxa"/>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eastAsia="zh-CN"/>
              </w:rPr>
              <w:t>废切削液</w:t>
            </w:r>
          </w:p>
        </w:tc>
        <w:tc>
          <w:tcPr>
            <w:tcW w:w="2154" w:type="dxa"/>
            <w:vAlign w:val="center"/>
          </w:tcPr>
          <w:p>
            <w:pPr>
              <w:overflowPunct w:val="0"/>
              <w:autoSpaceDE w:val="0"/>
              <w:autoSpaceDN w:val="0"/>
              <w:adjustRightInd w:val="0"/>
              <w:snapToGrid w:val="0"/>
              <w:spacing w:line="0" w:lineRule="atLeast"/>
              <w:jc w:val="center"/>
              <w:rPr>
                <w:rFonts w:hint="default" w:ascii="Times New Roman" w:hAnsi="Times New Roman" w:eastAsia="宋体" w:cs="Times New Roman"/>
                <w:color w:val="auto"/>
                <w:spacing w:val="6"/>
                <w:kern w:val="2"/>
                <w:sz w:val="24"/>
                <w:szCs w:val="24"/>
                <w:highlight w:val="none"/>
                <w:lang w:val="en-US" w:eastAsia="zh-CN" w:bidi="ar-SA"/>
              </w:rPr>
            </w:pPr>
            <w:r>
              <w:rPr>
                <w:rFonts w:hint="eastAsia" w:cs="Times New Roman"/>
                <w:color w:val="auto"/>
                <w:spacing w:val="6"/>
                <w:kern w:val="2"/>
                <w:sz w:val="24"/>
                <w:szCs w:val="24"/>
                <w:highlight w:val="none"/>
                <w:lang w:val="en-US" w:eastAsia="zh-CN" w:bidi="ar-SA"/>
              </w:rPr>
              <w:t>2.0t/a</w:t>
            </w:r>
          </w:p>
        </w:tc>
        <w:tc>
          <w:tcPr>
            <w:tcW w:w="2891" w:type="dxa"/>
            <w:vMerge w:val="restart"/>
            <w:vAlign w:val="center"/>
          </w:tcPr>
          <w:p>
            <w:pPr>
              <w:spacing w:line="0" w:lineRule="atLeast"/>
              <w:jc w:val="center"/>
              <w:rPr>
                <w:rFonts w:ascii="Times New Roman" w:hAnsi="Times New Roman" w:eastAsia="宋体" w:cs="Times New Roman"/>
                <w:color w:val="auto"/>
                <w:kern w:val="2"/>
                <w:sz w:val="24"/>
                <w:szCs w:val="24"/>
                <w:highlight w:val="none"/>
                <w:lang w:val="en-US" w:eastAsia="zh-CN" w:bidi="he-IL"/>
              </w:rPr>
            </w:pPr>
            <w:r>
              <w:rPr>
                <w:color w:val="auto"/>
                <w:sz w:val="24"/>
                <w:szCs w:val="24"/>
                <w:highlight w:val="none"/>
              </w:rPr>
              <w:t>暂存于危废暂存间，委托有资质的单位处理</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0" w:hRule="atLeast"/>
          <w:jc w:val="center"/>
        </w:trPr>
        <w:tc>
          <w:tcPr>
            <w:tcW w:w="1078" w:type="dxa"/>
            <w:vMerge w:val="continue"/>
            <w:vAlign w:val="center"/>
          </w:tcPr>
          <w:p>
            <w:pPr>
              <w:autoSpaceDE w:val="0"/>
              <w:autoSpaceDN w:val="0"/>
              <w:adjustRightInd w:val="0"/>
              <w:spacing w:line="400" w:lineRule="exact"/>
              <w:jc w:val="center"/>
              <w:rPr>
                <w:b/>
                <w:color w:val="auto"/>
                <w:kern w:val="0"/>
                <w:sz w:val="24"/>
                <w:szCs w:val="24"/>
                <w:highlight w:val="none"/>
              </w:rPr>
            </w:pPr>
          </w:p>
        </w:tc>
        <w:tc>
          <w:tcPr>
            <w:tcW w:w="1750" w:type="dxa"/>
            <w:vMerge w:val="continue"/>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p>
        </w:tc>
        <w:tc>
          <w:tcPr>
            <w:tcW w:w="1482" w:type="dxa"/>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eastAsia="zh-CN"/>
              </w:rPr>
              <w:t>废润滑油</w:t>
            </w:r>
          </w:p>
        </w:tc>
        <w:tc>
          <w:tcPr>
            <w:tcW w:w="2154" w:type="dxa"/>
            <w:vAlign w:val="center"/>
          </w:tcPr>
          <w:p>
            <w:pPr>
              <w:overflowPunct w:val="0"/>
              <w:autoSpaceDE w:val="0"/>
              <w:autoSpaceDN w:val="0"/>
              <w:adjustRightInd w:val="0"/>
              <w:snapToGrid w:val="0"/>
              <w:spacing w:line="0" w:lineRule="atLeast"/>
              <w:jc w:val="center"/>
              <w:rPr>
                <w:rFonts w:hint="default"/>
                <w:color w:val="auto"/>
                <w:spacing w:val="6"/>
                <w:sz w:val="24"/>
                <w:szCs w:val="24"/>
                <w:highlight w:val="none"/>
                <w:lang w:val="en-US" w:eastAsia="zh-CN"/>
              </w:rPr>
            </w:pPr>
            <w:r>
              <w:rPr>
                <w:rFonts w:hint="eastAsia" w:cs="Times New Roman"/>
                <w:color w:val="auto"/>
                <w:spacing w:val="6"/>
                <w:kern w:val="2"/>
                <w:sz w:val="24"/>
                <w:szCs w:val="24"/>
                <w:highlight w:val="none"/>
                <w:lang w:val="en-US" w:eastAsia="zh-CN" w:bidi="ar-SA"/>
              </w:rPr>
              <w:t>0.1t/a</w:t>
            </w:r>
          </w:p>
        </w:tc>
        <w:tc>
          <w:tcPr>
            <w:tcW w:w="2891" w:type="dxa"/>
            <w:vMerge w:val="continue"/>
            <w:vAlign w:val="center"/>
          </w:tcPr>
          <w:p>
            <w:pPr>
              <w:spacing w:line="0" w:lineRule="atLeast"/>
              <w:jc w:val="center"/>
              <w:rPr>
                <w:rFonts w:hint="eastAsia"/>
                <w:color w:val="auto"/>
                <w:sz w:val="24"/>
                <w:szCs w:val="24"/>
                <w:highlight w:val="none"/>
                <w:lang w:eastAsia="zh-CN"/>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0" w:hRule="atLeast"/>
          <w:jc w:val="center"/>
        </w:trPr>
        <w:tc>
          <w:tcPr>
            <w:tcW w:w="1078" w:type="dxa"/>
            <w:vMerge w:val="continue"/>
            <w:vAlign w:val="center"/>
          </w:tcPr>
          <w:p>
            <w:pPr>
              <w:autoSpaceDE w:val="0"/>
              <w:autoSpaceDN w:val="0"/>
              <w:adjustRightInd w:val="0"/>
              <w:spacing w:line="400" w:lineRule="exact"/>
              <w:jc w:val="center"/>
              <w:rPr>
                <w:b/>
                <w:color w:val="auto"/>
                <w:kern w:val="0"/>
                <w:sz w:val="24"/>
                <w:szCs w:val="24"/>
                <w:highlight w:val="none"/>
              </w:rPr>
            </w:pPr>
          </w:p>
        </w:tc>
        <w:tc>
          <w:tcPr>
            <w:tcW w:w="1750" w:type="dxa"/>
            <w:vMerge w:val="continue"/>
            <w:vAlign w:val="center"/>
          </w:tcPr>
          <w:p>
            <w:pPr>
              <w:tabs>
                <w:tab w:val="left" w:pos="2604"/>
              </w:tabs>
              <w:spacing w:line="0" w:lineRule="atLeast"/>
              <w:jc w:val="center"/>
              <w:rPr>
                <w:rFonts w:hint="eastAsia" w:ascii="Times New Roman" w:hAnsi="Times New Roman" w:eastAsia="宋体" w:cs="Times New Roman"/>
                <w:color w:val="auto"/>
                <w:kern w:val="2"/>
                <w:sz w:val="24"/>
                <w:szCs w:val="24"/>
                <w:highlight w:val="none"/>
                <w:lang w:val="en-US" w:eastAsia="zh-CN" w:bidi="ar-SA"/>
              </w:rPr>
            </w:pPr>
          </w:p>
        </w:tc>
        <w:tc>
          <w:tcPr>
            <w:tcW w:w="1482" w:type="dxa"/>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color w:val="auto"/>
                <w:sz w:val="24"/>
                <w:szCs w:val="24"/>
                <w:highlight w:val="none"/>
              </w:rPr>
              <w:t>废液压油</w:t>
            </w:r>
          </w:p>
        </w:tc>
        <w:tc>
          <w:tcPr>
            <w:tcW w:w="2154" w:type="dxa"/>
            <w:vAlign w:val="center"/>
          </w:tcPr>
          <w:p>
            <w:pPr>
              <w:overflowPunct w:val="0"/>
              <w:autoSpaceDE w:val="0"/>
              <w:autoSpaceDN w:val="0"/>
              <w:adjustRightInd w:val="0"/>
              <w:snapToGrid w:val="0"/>
              <w:spacing w:line="0" w:lineRule="atLeast"/>
              <w:jc w:val="center"/>
              <w:rPr>
                <w:rFonts w:hint="default" w:ascii="Times New Roman" w:hAnsi="Times New Roman" w:eastAsia="宋体" w:cs="Times New Roman"/>
                <w:color w:val="auto"/>
                <w:spacing w:val="6"/>
                <w:kern w:val="2"/>
                <w:sz w:val="24"/>
                <w:szCs w:val="24"/>
                <w:highlight w:val="none"/>
                <w:lang w:val="en-US" w:eastAsia="zh-CN" w:bidi="ar-SA"/>
              </w:rPr>
            </w:pPr>
            <w:r>
              <w:rPr>
                <w:rFonts w:hint="eastAsia" w:cs="Times New Roman"/>
                <w:color w:val="auto"/>
                <w:spacing w:val="6"/>
                <w:kern w:val="2"/>
                <w:sz w:val="24"/>
                <w:szCs w:val="24"/>
                <w:highlight w:val="none"/>
                <w:lang w:val="en-US" w:eastAsia="zh-CN" w:bidi="ar-SA"/>
              </w:rPr>
              <w:t>0.1t/a</w:t>
            </w:r>
          </w:p>
        </w:tc>
        <w:tc>
          <w:tcPr>
            <w:tcW w:w="2891" w:type="dxa"/>
            <w:vMerge w:val="continue"/>
            <w:vAlign w:val="center"/>
          </w:tcPr>
          <w:p>
            <w:pPr>
              <w:spacing w:line="0" w:lineRule="atLeast"/>
              <w:jc w:val="center"/>
              <w:rPr>
                <w:rFonts w:hint="eastAsia" w:ascii="Times New Roman" w:hAnsi="Times New Roman" w:eastAsia="宋体" w:cs="Times New Roman"/>
                <w:color w:val="auto"/>
                <w:kern w:val="2"/>
                <w:sz w:val="24"/>
                <w:szCs w:val="24"/>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78" w:hRule="atLeast"/>
          <w:jc w:val="center"/>
        </w:trPr>
        <w:tc>
          <w:tcPr>
            <w:tcW w:w="1078" w:type="dxa"/>
            <w:vMerge w:val="continue"/>
            <w:vAlign w:val="center"/>
          </w:tcPr>
          <w:p>
            <w:pPr>
              <w:autoSpaceDE w:val="0"/>
              <w:autoSpaceDN w:val="0"/>
              <w:adjustRightInd w:val="0"/>
              <w:spacing w:line="400" w:lineRule="exact"/>
              <w:jc w:val="center"/>
              <w:rPr>
                <w:b/>
                <w:color w:val="auto"/>
                <w:kern w:val="0"/>
                <w:sz w:val="24"/>
                <w:szCs w:val="24"/>
                <w:highlight w:val="none"/>
              </w:rPr>
            </w:pPr>
          </w:p>
        </w:tc>
        <w:tc>
          <w:tcPr>
            <w:tcW w:w="1750" w:type="dxa"/>
            <w:vMerge w:val="continue"/>
            <w:vAlign w:val="center"/>
          </w:tcPr>
          <w:p>
            <w:pPr>
              <w:widowControl/>
              <w:jc w:val="center"/>
              <w:rPr>
                <w:rFonts w:hint="eastAsia" w:ascii="Times New Roman" w:hAnsi="Times New Roman" w:eastAsia="宋体" w:cs="Times New Roman"/>
                <w:color w:val="auto"/>
                <w:kern w:val="2"/>
                <w:sz w:val="24"/>
                <w:szCs w:val="24"/>
                <w:highlight w:val="none"/>
                <w:lang w:val="en-US" w:eastAsia="zh-CN" w:bidi="ar-SA"/>
              </w:rPr>
            </w:pPr>
          </w:p>
        </w:tc>
        <w:tc>
          <w:tcPr>
            <w:tcW w:w="1482" w:type="dxa"/>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eastAsia="zh-CN"/>
              </w:rPr>
              <w:t>废包装桶</w:t>
            </w:r>
          </w:p>
        </w:tc>
        <w:tc>
          <w:tcPr>
            <w:tcW w:w="2154" w:type="dxa"/>
            <w:vAlign w:val="center"/>
          </w:tcPr>
          <w:p>
            <w:pPr>
              <w:overflowPunct w:val="0"/>
              <w:autoSpaceDE w:val="0"/>
              <w:autoSpaceDN w:val="0"/>
              <w:adjustRightInd w:val="0"/>
              <w:snapToGrid w:val="0"/>
              <w:spacing w:line="0" w:lineRule="atLeast"/>
              <w:jc w:val="center"/>
              <w:rPr>
                <w:rFonts w:hint="default" w:ascii="Times New Roman" w:hAnsi="Times New Roman" w:eastAsia="宋体" w:cs="Times New Roman"/>
                <w:color w:val="auto"/>
                <w:spacing w:val="6"/>
                <w:kern w:val="2"/>
                <w:sz w:val="24"/>
                <w:szCs w:val="24"/>
                <w:highlight w:val="none"/>
                <w:lang w:val="en-US" w:eastAsia="zh-CN" w:bidi="ar-SA"/>
              </w:rPr>
            </w:pPr>
            <w:r>
              <w:rPr>
                <w:rFonts w:hint="eastAsia"/>
                <w:color w:val="auto"/>
                <w:spacing w:val="6"/>
                <w:sz w:val="24"/>
                <w:szCs w:val="24"/>
                <w:highlight w:val="none"/>
                <w:lang w:val="en-US" w:eastAsia="zh-CN"/>
              </w:rPr>
              <w:t>48个/a</w:t>
            </w:r>
          </w:p>
        </w:tc>
        <w:tc>
          <w:tcPr>
            <w:tcW w:w="2891" w:type="dxa"/>
            <w:vMerge w:val="continue"/>
            <w:vAlign w:val="center"/>
          </w:tcPr>
          <w:p>
            <w:pPr>
              <w:spacing w:line="0" w:lineRule="atLeast"/>
              <w:jc w:val="center"/>
              <w:rPr>
                <w:rFonts w:ascii="Times New Roman" w:hAnsi="Times New Roman" w:eastAsia="宋体" w:cs="Times New Roman"/>
                <w:color w:val="auto"/>
                <w:kern w:val="2"/>
                <w:sz w:val="24"/>
                <w:szCs w:val="24"/>
                <w:highlight w:val="none"/>
                <w:lang w:val="en-US" w:eastAsia="zh-CN" w:bidi="he-IL"/>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566" w:hRule="atLeast"/>
          <w:jc w:val="center"/>
        </w:trPr>
        <w:tc>
          <w:tcPr>
            <w:tcW w:w="1078" w:type="dxa"/>
            <w:vMerge w:val="continue"/>
            <w:vAlign w:val="center"/>
          </w:tcPr>
          <w:p>
            <w:pPr>
              <w:autoSpaceDE w:val="0"/>
              <w:autoSpaceDN w:val="0"/>
              <w:adjustRightInd w:val="0"/>
              <w:spacing w:line="400" w:lineRule="exact"/>
              <w:jc w:val="center"/>
              <w:rPr>
                <w:b/>
                <w:color w:val="auto"/>
                <w:kern w:val="0"/>
                <w:sz w:val="24"/>
                <w:szCs w:val="24"/>
                <w:highlight w:val="none"/>
              </w:rPr>
            </w:pPr>
          </w:p>
        </w:tc>
        <w:tc>
          <w:tcPr>
            <w:tcW w:w="1750" w:type="dxa"/>
            <w:vMerge w:val="continue"/>
            <w:vAlign w:val="center"/>
          </w:tcPr>
          <w:p>
            <w:pPr>
              <w:widowControl/>
              <w:jc w:val="center"/>
              <w:rPr>
                <w:rFonts w:hint="eastAsia" w:ascii="Times New Roman" w:hAnsi="Times New Roman" w:eastAsia="宋体" w:cs="Times New Roman"/>
                <w:color w:val="auto"/>
                <w:kern w:val="2"/>
                <w:sz w:val="24"/>
                <w:szCs w:val="24"/>
                <w:highlight w:val="none"/>
                <w:lang w:val="en-US" w:eastAsia="zh-CN" w:bidi="ar-SA"/>
              </w:rPr>
            </w:pPr>
          </w:p>
        </w:tc>
        <w:tc>
          <w:tcPr>
            <w:tcW w:w="1482" w:type="dxa"/>
            <w:vAlign w:val="center"/>
          </w:tcPr>
          <w:p>
            <w:pPr>
              <w:tabs>
                <w:tab w:val="left" w:pos="2604"/>
              </w:tabs>
              <w:jc w:val="center"/>
              <w:rPr>
                <w:rFonts w:hint="eastAsia"/>
                <w:color w:val="auto"/>
                <w:sz w:val="24"/>
                <w:szCs w:val="24"/>
                <w:highlight w:val="none"/>
                <w:lang w:eastAsia="zh-CN"/>
              </w:rPr>
            </w:pPr>
            <w:r>
              <w:rPr>
                <w:rFonts w:hint="eastAsia"/>
                <w:color w:val="auto"/>
                <w:sz w:val="24"/>
                <w:szCs w:val="24"/>
                <w:highlight w:val="none"/>
                <w:lang w:eastAsia="zh-CN"/>
              </w:rPr>
              <w:t>含油废抹布及废手套</w:t>
            </w:r>
          </w:p>
        </w:tc>
        <w:tc>
          <w:tcPr>
            <w:tcW w:w="2154" w:type="dxa"/>
            <w:vAlign w:val="center"/>
          </w:tcPr>
          <w:p>
            <w:pPr>
              <w:overflowPunct w:val="0"/>
              <w:autoSpaceDE w:val="0"/>
              <w:autoSpaceDN w:val="0"/>
              <w:adjustRightInd w:val="0"/>
              <w:snapToGrid w:val="0"/>
              <w:spacing w:line="0" w:lineRule="atLeast"/>
              <w:jc w:val="center"/>
              <w:rPr>
                <w:rFonts w:hint="default"/>
                <w:color w:val="auto"/>
                <w:spacing w:val="6"/>
                <w:sz w:val="24"/>
                <w:szCs w:val="24"/>
                <w:highlight w:val="none"/>
                <w:lang w:val="en-US" w:eastAsia="zh-CN"/>
              </w:rPr>
            </w:pPr>
            <w:r>
              <w:rPr>
                <w:rFonts w:hint="eastAsia"/>
                <w:color w:val="auto"/>
                <w:spacing w:val="6"/>
                <w:sz w:val="24"/>
                <w:szCs w:val="24"/>
                <w:highlight w:val="none"/>
                <w:lang w:val="en-US" w:eastAsia="zh-CN"/>
              </w:rPr>
              <w:t>1.0t/a</w:t>
            </w:r>
          </w:p>
        </w:tc>
        <w:tc>
          <w:tcPr>
            <w:tcW w:w="2891" w:type="dxa"/>
            <w:vMerge w:val="continue"/>
            <w:vAlign w:val="center"/>
          </w:tcPr>
          <w:p>
            <w:pPr>
              <w:spacing w:line="0" w:lineRule="atLeast"/>
              <w:jc w:val="center"/>
              <w:rPr>
                <w:rFonts w:ascii="Times New Roman" w:hAnsi="Times New Roman" w:eastAsia="宋体" w:cs="Times New Roman"/>
                <w:color w:val="auto"/>
                <w:kern w:val="2"/>
                <w:sz w:val="24"/>
                <w:szCs w:val="24"/>
                <w:highlight w:val="none"/>
                <w:lang w:val="en-US" w:eastAsia="zh-CN" w:bidi="he-IL"/>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20" w:hRule="atLeast"/>
          <w:jc w:val="center"/>
        </w:trPr>
        <w:tc>
          <w:tcPr>
            <w:tcW w:w="1078" w:type="dxa"/>
            <w:vAlign w:val="center"/>
          </w:tcPr>
          <w:p>
            <w:pPr>
              <w:autoSpaceDE w:val="0"/>
              <w:autoSpaceDN w:val="0"/>
              <w:adjustRightInd w:val="0"/>
              <w:spacing w:line="400" w:lineRule="exact"/>
              <w:jc w:val="center"/>
              <w:rPr>
                <w:b/>
                <w:color w:val="auto"/>
                <w:kern w:val="0"/>
                <w:sz w:val="24"/>
                <w:szCs w:val="24"/>
                <w:highlight w:val="none"/>
              </w:rPr>
            </w:pPr>
            <w:r>
              <w:rPr>
                <w:b/>
                <w:color w:val="auto"/>
                <w:kern w:val="0"/>
                <w:sz w:val="24"/>
                <w:szCs w:val="24"/>
                <w:highlight w:val="none"/>
              </w:rPr>
              <w:t>噪声</w:t>
            </w:r>
          </w:p>
        </w:tc>
        <w:tc>
          <w:tcPr>
            <w:tcW w:w="8277" w:type="dxa"/>
            <w:gridSpan w:val="4"/>
            <w:vAlign w:val="center"/>
          </w:tcPr>
          <w:p>
            <w:pPr>
              <w:tabs>
                <w:tab w:val="left" w:pos="2604"/>
              </w:tabs>
              <w:spacing w:line="400" w:lineRule="exact"/>
              <w:ind w:firstLine="480" w:firstLineChars="200"/>
              <w:jc w:val="left"/>
              <w:rPr>
                <w:color w:val="auto"/>
                <w:sz w:val="24"/>
                <w:szCs w:val="24"/>
                <w:highlight w:val="none"/>
                <w:lang w:val="zh-CN"/>
              </w:rPr>
            </w:pPr>
            <w:r>
              <w:rPr>
                <w:color w:val="auto"/>
                <w:sz w:val="24"/>
                <w:szCs w:val="24"/>
                <w:highlight w:val="none"/>
                <w:lang w:val="zh-CN"/>
              </w:rPr>
              <w:t>本项目主要噪声源为</w:t>
            </w:r>
            <w:r>
              <w:rPr>
                <w:rFonts w:hint="eastAsia"/>
                <w:color w:val="auto"/>
                <w:sz w:val="24"/>
                <w:szCs w:val="24"/>
                <w:highlight w:val="none"/>
                <w:lang w:val="zh-CN"/>
              </w:rPr>
              <w:t>数控火焰切割机、锯床、卷板机、加工中心、车床、钻床、磨床、镗床、自制抛光机、电阻炉</w:t>
            </w:r>
            <w:r>
              <w:rPr>
                <w:rFonts w:hint="default"/>
                <w:color w:val="auto"/>
                <w:sz w:val="24"/>
                <w:szCs w:val="24"/>
                <w:highlight w:val="none"/>
                <w:lang w:val="zh-CN"/>
              </w:rPr>
              <w:t>等设备产生的噪声</w:t>
            </w:r>
            <w:r>
              <w:rPr>
                <w:color w:val="auto"/>
                <w:sz w:val="24"/>
                <w:szCs w:val="24"/>
                <w:highlight w:val="none"/>
                <w:lang w:val="zh-CN"/>
              </w:rPr>
              <w:t>，噪声源强约为</w:t>
            </w:r>
            <w:r>
              <w:rPr>
                <w:rFonts w:hint="eastAsia"/>
                <w:color w:val="auto"/>
                <w:sz w:val="24"/>
                <w:szCs w:val="24"/>
                <w:highlight w:val="none"/>
                <w:lang w:val="zh-CN" w:eastAsia="zh-CN"/>
              </w:rPr>
              <w:t>80</w:t>
            </w:r>
            <w:r>
              <w:rPr>
                <w:color w:val="auto"/>
                <w:sz w:val="24"/>
                <w:szCs w:val="24"/>
                <w:highlight w:val="none"/>
                <w:lang w:val="zh-CN"/>
              </w:rPr>
              <w:t>~</w:t>
            </w:r>
            <w:r>
              <w:rPr>
                <w:rFonts w:hint="eastAsia"/>
                <w:color w:val="auto"/>
                <w:sz w:val="24"/>
                <w:szCs w:val="24"/>
                <w:highlight w:val="none"/>
                <w:lang w:val="zh-CN" w:eastAsia="zh-CN"/>
              </w:rPr>
              <w:t>90</w:t>
            </w:r>
            <w:r>
              <w:rPr>
                <w:color w:val="auto"/>
                <w:sz w:val="24"/>
                <w:szCs w:val="24"/>
                <w:highlight w:val="none"/>
                <w:lang w:val="zh-CN"/>
              </w:rPr>
              <w:t>dB（A）。采取厂房隔声、基础减振等措施，</w:t>
            </w:r>
            <w:r>
              <w:rPr>
                <w:color w:val="auto"/>
                <w:sz w:val="24"/>
                <w:szCs w:val="24"/>
                <w:highlight w:val="none"/>
              </w:rPr>
              <w:t>并经距离衰减后，厂界噪声符合《工业企业厂界环境噪声排放标准》(GB12348－2008)</w:t>
            </w:r>
            <w:r>
              <w:rPr>
                <w:rFonts w:hint="eastAsia"/>
                <w:color w:val="auto"/>
                <w:sz w:val="24"/>
                <w:szCs w:val="24"/>
                <w:highlight w:val="none"/>
                <w:lang w:val="en-US" w:eastAsia="zh-CN"/>
              </w:rPr>
              <w:t>3</w:t>
            </w:r>
            <w:r>
              <w:rPr>
                <w:color w:val="auto"/>
                <w:sz w:val="24"/>
                <w:szCs w:val="24"/>
                <w:highlight w:val="none"/>
              </w:rPr>
              <w:t>类区标准要求。</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492" w:hRule="atLeast"/>
          <w:jc w:val="center"/>
        </w:trPr>
        <w:tc>
          <w:tcPr>
            <w:tcW w:w="1078" w:type="dxa"/>
            <w:vAlign w:val="center"/>
          </w:tcPr>
          <w:p>
            <w:pPr>
              <w:autoSpaceDE w:val="0"/>
              <w:autoSpaceDN w:val="0"/>
              <w:adjustRightInd w:val="0"/>
              <w:spacing w:line="400" w:lineRule="exact"/>
              <w:jc w:val="center"/>
              <w:rPr>
                <w:b/>
                <w:color w:val="auto"/>
                <w:kern w:val="0"/>
                <w:sz w:val="24"/>
                <w:szCs w:val="24"/>
                <w:highlight w:val="none"/>
              </w:rPr>
            </w:pPr>
            <w:r>
              <w:rPr>
                <w:b/>
                <w:color w:val="auto"/>
                <w:kern w:val="0"/>
                <w:sz w:val="24"/>
                <w:szCs w:val="24"/>
                <w:highlight w:val="none"/>
              </w:rPr>
              <w:t>其它</w:t>
            </w:r>
          </w:p>
        </w:tc>
        <w:tc>
          <w:tcPr>
            <w:tcW w:w="8277" w:type="dxa"/>
            <w:gridSpan w:val="4"/>
            <w:vAlign w:val="center"/>
          </w:tcPr>
          <w:p>
            <w:pPr>
              <w:autoSpaceDE w:val="0"/>
              <w:autoSpaceDN w:val="0"/>
              <w:adjustRightInd w:val="0"/>
              <w:spacing w:line="400" w:lineRule="exact"/>
              <w:jc w:val="center"/>
              <w:rPr>
                <w:color w:val="auto"/>
                <w:kern w:val="0"/>
                <w:sz w:val="24"/>
                <w:szCs w:val="24"/>
                <w:highlight w:val="none"/>
              </w:rPr>
            </w:pPr>
            <w:r>
              <w:rPr>
                <w:color w:val="auto"/>
                <w:kern w:val="24"/>
                <w:sz w:val="24"/>
                <w:szCs w:val="24"/>
                <w:highlight w:val="none"/>
              </w:rPr>
              <w:t>无</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85" w:type="dxa"/>
            <w:bottom w:w="0" w:type="dxa"/>
            <w:right w:w="85" w:type="dxa"/>
          </w:tblCellMar>
        </w:tblPrEx>
        <w:trPr>
          <w:trHeight w:val="1453" w:hRule="atLeast"/>
          <w:jc w:val="center"/>
        </w:trPr>
        <w:tc>
          <w:tcPr>
            <w:tcW w:w="9355" w:type="dxa"/>
            <w:gridSpan w:val="5"/>
            <w:vAlign w:val="top"/>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color w:val="auto"/>
                <w:sz w:val="24"/>
                <w:szCs w:val="24"/>
                <w:highlight w:val="none"/>
              </w:rPr>
            </w:pPr>
            <w:r>
              <w:rPr>
                <w:color w:val="auto"/>
                <w:sz w:val="24"/>
                <w:szCs w:val="24"/>
                <w:highlight w:val="none"/>
              </w:rPr>
              <w:t>主要生态影响(不够时可附另页)：</w:t>
            </w:r>
          </w:p>
          <w:p>
            <w:pPr>
              <w:pStyle w:val="22"/>
              <w:keepNext w:val="0"/>
              <w:keepLines w:val="0"/>
              <w:pageBreakBefore w:val="0"/>
              <w:widowControl w:val="0"/>
              <w:kinsoku/>
              <w:wordWrap/>
              <w:overflowPunct/>
              <w:topLinePunct w:val="0"/>
              <w:autoSpaceDE/>
              <w:autoSpaceDN/>
              <w:bidi w:val="0"/>
              <w:adjustRightInd/>
              <w:snapToGrid/>
              <w:spacing w:line="360" w:lineRule="auto"/>
              <w:jc w:val="both"/>
              <w:textAlignment w:val="auto"/>
              <w:rPr>
                <w:color w:val="auto"/>
                <w:sz w:val="24"/>
                <w:szCs w:val="24"/>
                <w:highlight w:val="none"/>
              </w:rPr>
            </w:pPr>
            <w:r>
              <w:rPr>
                <w:rFonts w:hint="default" w:ascii="Times New Roman" w:hAnsi="Times New Roman" w:cs="Times New Roman"/>
                <w:color w:val="auto"/>
                <w:sz w:val="24"/>
                <w:szCs w:val="24"/>
                <w:highlight w:val="none"/>
                <w:lang w:eastAsia="zh-CN"/>
              </w:rPr>
              <w:t>本项目在现有</w:t>
            </w:r>
            <w:r>
              <w:rPr>
                <w:rFonts w:hint="eastAsia" w:cs="Times New Roman"/>
                <w:color w:val="auto"/>
                <w:sz w:val="24"/>
                <w:szCs w:val="24"/>
                <w:highlight w:val="none"/>
                <w:lang w:eastAsia="zh-CN"/>
              </w:rPr>
              <w:t>厂区生产车间内</w:t>
            </w:r>
            <w:r>
              <w:rPr>
                <w:rFonts w:hint="default" w:ascii="Times New Roman" w:hAnsi="Times New Roman" w:cs="Times New Roman"/>
                <w:color w:val="auto"/>
                <w:sz w:val="24"/>
                <w:szCs w:val="24"/>
                <w:highlight w:val="none"/>
                <w:lang w:eastAsia="zh-CN"/>
              </w:rPr>
              <w:t>进行</w:t>
            </w:r>
            <w:r>
              <w:rPr>
                <w:rFonts w:hint="eastAsia" w:cs="Times New Roman"/>
                <w:color w:val="auto"/>
                <w:sz w:val="24"/>
                <w:szCs w:val="24"/>
                <w:highlight w:val="none"/>
                <w:lang w:eastAsia="zh-CN"/>
              </w:rPr>
              <w:t>技改</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项目不设取土场，弃土场</w:t>
            </w:r>
            <w:r>
              <w:rPr>
                <w:rFonts w:hint="default" w:ascii="Times New Roman" w:hAnsi="Times New Roman" w:cs="Times New Roman"/>
                <w:color w:val="auto"/>
                <w:sz w:val="24"/>
                <w:szCs w:val="24"/>
                <w:highlight w:val="none"/>
                <w:lang w:eastAsia="zh-CN"/>
              </w:rPr>
              <w:t>。不会对生态环境产生影响。</w:t>
            </w:r>
          </w:p>
        </w:tc>
      </w:tr>
    </w:tbl>
    <w:p>
      <w:pPr>
        <w:outlineLvl w:val="0"/>
        <w:rPr>
          <w:b/>
          <w:bCs/>
          <w:color w:val="auto"/>
          <w:sz w:val="32"/>
          <w:highlight w:val="none"/>
        </w:rPr>
      </w:pPr>
      <w:r>
        <w:rPr>
          <w:color w:val="auto"/>
          <w:szCs w:val="21"/>
          <w:highlight w:val="none"/>
          <w:lang w:bidi="he-IL"/>
        </w:rPr>
        <w:br w:type="page"/>
      </w:r>
      <w:r>
        <w:rPr>
          <w:b/>
          <w:bCs/>
          <w:color w:val="auto"/>
          <w:sz w:val="32"/>
          <w:highlight w:val="none"/>
        </w:rPr>
        <w:t>环境影响分析</w:t>
      </w:r>
    </w:p>
    <w:tbl>
      <w:tblPr>
        <w:tblStyle w:val="31"/>
        <w:tblW w:w="935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85" w:type="dxa"/>
          <w:bottom w:w="0" w:type="dxa"/>
          <w:right w:w="85" w:type="dxa"/>
        </w:tblCellMar>
      </w:tblPr>
      <w:tblGrid>
        <w:gridCol w:w="935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651" w:hRule="atLeast"/>
          <w:jc w:val="center"/>
        </w:trPr>
        <w:tc>
          <w:tcPr>
            <w:tcW w:w="9355" w:type="dxa"/>
          </w:tcPr>
          <w:p>
            <w:pPr>
              <w:spacing w:line="360" w:lineRule="auto"/>
              <w:ind w:firstLine="480" w:firstLineChars="200"/>
              <w:rPr>
                <w:color w:val="auto"/>
                <w:sz w:val="24"/>
                <w:szCs w:val="24"/>
                <w:highlight w:val="none"/>
              </w:rPr>
            </w:pPr>
            <w:r>
              <w:rPr>
                <w:color w:val="auto"/>
                <w:sz w:val="24"/>
                <w:szCs w:val="24"/>
                <w:highlight w:val="none"/>
              </w:rPr>
              <w:t>施工期环境影响简要分析：</w:t>
            </w:r>
          </w:p>
          <w:p>
            <w:pPr>
              <w:spacing w:line="360" w:lineRule="auto"/>
              <w:ind w:firstLine="480" w:firstLineChars="200"/>
              <w:rPr>
                <w:rFonts w:hint="eastAsia"/>
                <w:color w:val="auto"/>
                <w:sz w:val="24"/>
                <w:szCs w:val="24"/>
                <w:highlight w:val="none"/>
              </w:rPr>
            </w:pPr>
            <w:r>
              <w:rPr>
                <w:rFonts w:hint="eastAsia"/>
                <w:color w:val="auto"/>
                <w:sz w:val="24"/>
                <w:szCs w:val="24"/>
                <w:highlight w:val="none"/>
                <w:lang w:eastAsia="zh-CN"/>
              </w:rPr>
              <w:t>本次技改项目在</w:t>
            </w:r>
            <w:r>
              <w:rPr>
                <w:rFonts w:hint="eastAsia"/>
                <w:color w:val="auto"/>
                <w:sz w:val="24"/>
                <w:szCs w:val="24"/>
                <w:highlight w:val="none"/>
              </w:rPr>
              <w:t>现有</w:t>
            </w:r>
            <w:r>
              <w:rPr>
                <w:rFonts w:hint="eastAsia"/>
                <w:color w:val="auto"/>
                <w:sz w:val="24"/>
                <w:szCs w:val="24"/>
                <w:highlight w:val="none"/>
                <w:lang w:eastAsia="zh-CN"/>
              </w:rPr>
              <w:t>生产车间内进行</w:t>
            </w:r>
            <w:r>
              <w:rPr>
                <w:rFonts w:hint="eastAsia"/>
                <w:color w:val="auto"/>
                <w:sz w:val="24"/>
                <w:szCs w:val="24"/>
                <w:highlight w:val="none"/>
              </w:rPr>
              <w:t>，施工期主要为设备安装，无土建施工，因此本评价不对施工期影响进行分析。</w:t>
            </w:r>
          </w:p>
          <w:p>
            <w:pPr>
              <w:keepNext w:val="0"/>
              <w:keepLines w:val="0"/>
              <w:pageBreakBefore w:val="0"/>
              <w:widowControl w:val="0"/>
              <w:kinsoku/>
              <w:wordWrap/>
              <w:overflowPunct/>
              <w:topLinePunct w:val="0"/>
              <w:autoSpaceDE/>
              <w:autoSpaceDN/>
              <w:bidi w:val="0"/>
              <w:snapToGrid/>
              <w:spacing w:line="460" w:lineRule="exact"/>
              <w:ind w:firstLine="420" w:firstLineChars="200"/>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p>
            <w:pPr>
              <w:pStyle w:val="22"/>
              <w:rPr>
                <w:color w:val="auto"/>
                <w:highlight w:val="none"/>
              </w:rPr>
            </w:pPr>
          </w:p>
          <w:p>
            <w:pPr>
              <w:rPr>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13829" w:hRule="atLeast"/>
          <w:jc w:val="center"/>
        </w:trPr>
        <w:tc>
          <w:tcPr>
            <w:tcW w:w="9355" w:type="dxa"/>
            <w:tcBorders>
              <w:bottom w:val="single" w:color="auto" w:sz="4" w:space="0"/>
            </w:tcBorders>
            <w:vAlign w:val="center"/>
          </w:tcPr>
          <w:p>
            <w:pPr>
              <w:pStyle w:val="17"/>
              <w:spacing w:line="480" w:lineRule="exact"/>
              <w:ind w:firstLine="0" w:firstLineChars="0"/>
              <w:jc w:val="left"/>
              <w:rPr>
                <w:b/>
                <w:bCs/>
                <w:color w:val="auto"/>
                <w:highlight w:val="none"/>
              </w:rPr>
            </w:pPr>
            <w:r>
              <w:rPr>
                <w:b/>
                <w:bCs/>
                <w:color w:val="auto"/>
                <w:highlight w:val="none"/>
              </w:rPr>
              <w:t>营运期环境影响分析：</w:t>
            </w:r>
          </w:p>
          <w:p>
            <w:pPr>
              <w:pStyle w:val="6"/>
              <w:pageBreakBefore w:val="0"/>
              <w:widowControl w:val="0"/>
              <w:kinsoku/>
              <w:wordWrap/>
              <w:overflowPunct/>
              <w:topLinePunct w:val="0"/>
              <w:autoSpaceDE/>
              <w:autoSpaceDN/>
              <w:bidi w:val="0"/>
              <w:adjustRightInd/>
              <w:snapToGrid/>
              <w:spacing w:before="0" w:after="0" w:line="460" w:lineRule="exact"/>
              <w:ind w:firstLine="480" w:firstLineChars="200"/>
              <w:jc w:val="left"/>
              <w:textAlignment w:val="auto"/>
              <w:rPr>
                <w:b w:val="0"/>
                <w:bCs w:val="0"/>
                <w:color w:val="auto"/>
                <w:sz w:val="24"/>
                <w:szCs w:val="24"/>
                <w:highlight w:val="none"/>
              </w:rPr>
            </w:pPr>
            <w:r>
              <w:rPr>
                <w:b w:val="0"/>
                <w:bCs w:val="0"/>
                <w:color w:val="auto"/>
                <w:sz w:val="24"/>
                <w:szCs w:val="24"/>
                <w:highlight w:val="none"/>
              </w:rPr>
              <w:t>（1）大气环境影响分析</w:t>
            </w:r>
          </w:p>
          <w:p>
            <w:pPr>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eastAsia="宋体"/>
                <w:color w:val="auto"/>
                <w:sz w:val="24"/>
                <w:highlight w:val="none"/>
                <w:lang w:val="en-US" w:eastAsia="zh-CN"/>
              </w:rPr>
            </w:pPr>
            <w:r>
              <w:rPr>
                <w:rFonts w:hint="eastAsia"/>
                <w:color w:val="auto"/>
                <w:sz w:val="24"/>
                <w:highlight w:val="none"/>
                <w:lang w:val="en-US" w:eastAsia="zh-CN"/>
              </w:rPr>
              <w:t>1、大气环境影响分析</w:t>
            </w:r>
          </w:p>
          <w:p>
            <w:pPr>
              <w:spacing w:line="500" w:lineRule="exact"/>
              <w:ind w:firstLine="480" w:firstLineChars="200"/>
              <w:jc w:val="left"/>
              <w:rPr>
                <w:color w:val="auto"/>
                <w:sz w:val="24"/>
                <w:highlight w:val="none"/>
              </w:rPr>
            </w:pPr>
            <w:r>
              <w:rPr>
                <w:color w:val="auto"/>
                <w:sz w:val="24"/>
                <w:highlight w:val="none"/>
              </w:rPr>
              <w:t>本项目废气为</w:t>
            </w:r>
            <w:r>
              <w:rPr>
                <w:color w:val="auto"/>
                <w:spacing w:val="8"/>
                <w:kern w:val="24"/>
                <w:sz w:val="24"/>
                <w:highlight w:val="none"/>
                <w:lang w:val="zh-CN"/>
              </w:rPr>
              <w:t>主要为</w:t>
            </w:r>
            <w:r>
              <w:rPr>
                <w:rFonts w:hint="eastAsia"/>
                <w:color w:val="auto"/>
                <w:spacing w:val="8"/>
                <w:kern w:val="24"/>
                <w:sz w:val="24"/>
                <w:highlight w:val="none"/>
                <w:lang w:val="zh-CN"/>
              </w:rPr>
              <w:t>数控火焰切割机废气、自制抛光机废气</w:t>
            </w:r>
            <w:r>
              <w:rPr>
                <w:color w:val="auto"/>
                <w:sz w:val="24"/>
                <w:highlight w:val="none"/>
              </w:rPr>
              <w:t>。</w:t>
            </w:r>
          </w:p>
          <w:p>
            <w:pPr>
              <w:keepNext w:val="0"/>
              <w:keepLines w:val="0"/>
              <w:pageBreakBefore w:val="0"/>
              <w:widowControl w:val="0"/>
              <w:kinsoku/>
              <w:wordWrap/>
              <w:overflowPunct/>
              <w:topLinePunct w:val="0"/>
              <w:bidi w:val="0"/>
              <w:adjustRightInd/>
              <w:snapToGrid/>
              <w:spacing w:line="480" w:lineRule="exact"/>
              <w:ind w:firstLine="480" w:firstLineChars="200"/>
              <w:jc w:val="left"/>
              <w:textAlignment w:val="auto"/>
              <w:rPr>
                <w:rFonts w:hint="eastAsia" w:ascii="Times New Roman" w:hAnsi="Times New Roman" w:eastAsia="宋体"/>
                <w:bCs/>
                <w:color w:val="auto"/>
                <w:sz w:val="24"/>
                <w:szCs w:val="24"/>
                <w:highlight w:val="none"/>
                <w:lang w:eastAsia="zh-CN"/>
              </w:rPr>
            </w:pPr>
            <w:r>
              <w:rPr>
                <w:rFonts w:hint="eastAsia"/>
                <w:bCs/>
                <w:color w:val="auto"/>
                <w:sz w:val="24"/>
                <w:szCs w:val="24"/>
                <w:highlight w:val="none"/>
                <w:lang w:eastAsia="zh-CN"/>
              </w:rPr>
              <w:t>（</w:t>
            </w:r>
            <w:r>
              <w:rPr>
                <w:rFonts w:hint="eastAsia"/>
                <w:bCs/>
                <w:color w:val="auto"/>
                <w:sz w:val="24"/>
                <w:szCs w:val="24"/>
                <w:highlight w:val="none"/>
                <w:lang w:val="en-US" w:eastAsia="zh-CN"/>
              </w:rPr>
              <w:t>1</w:t>
            </w:r>
            <w:r>
              <w:rPr>
                <w:rFonts w:hint="eastAsia"/>
                <w:bCs/>
                <w:color w:val="auto"/>
                <w:sz w:val="24"/>
                <w:szCs w:val="24"/>
                <w:highlight w:val="none"/>
                <w:lang w:eastAsia="zh-CN"/>
              </w:rPr>
              <w:t>）</w:t>
            </w:r>
            <w:r>
              <w:rPr>
                <w:rFonts w:hint="eastAsia"/>
                <w:color w:val="auto"/>
                <w:spacing w:val="8"/>
                <w:kern w:val="24"/>
                <w:sz w:val="24"/>
                <w:highlight w:val="none"/>
                <w:lang w:val="zh-CN"/>
              </w:rPr>
              <w:t>数控火焰切割机废气</w:t>
            </w:r>
          </w:p>
          <w:p>
            <w:pPr>
              <w:pStyle w:val="22"/>
              <w:keepNext w:val="0"/>
              <w:keepLines w:val="0"/>
              <w:pageBreakBefore w:val="0"/>
              <w:widowControl w:val="0"/>
              <w:kinsoku/>
              <w:wordWrap/>
              <w:overflowPunct/>
              <w:topLinePunct w:val="0"/>
              <w:bidi w:val="0"/>
              <w:spacing w:line="360" w:lineRule="auto"/>
              <w:ind w:left="0" w:right="0"/>
              <w:textAlignment w:val="auto"/>
              <w:rPr>
                <w:rFonts w:hint="default"/>
                <w:color w:val="auto"/>
                <w:sz w:val="24"/>
                <w:highlight w:val="none"/>
                <w:lang w:val="en-US" w:eastAsia="zh-CN"/>
              </w:rPr>
            </w:pPr>
            <w:r>
              <w:rPr>
                <w:rFonts w:hint="eastAsia"/>
                <w:color w:val="auto"/>
                <w:sz w:val="24"/>
                <w:highlight w:val="none"/>
                <w:lang w:val="en-US" w:eastAsia="zh-CN"/>
              </w:rPr>
              <w:t>参照《第一次全国污染源普查工业污染源产排污系数手册》中3230钢压延加工业-钢压延加工行业无组织排放主要污染物排放系数：火焰清理、切割，烟尘产生量为0.2-1.5kg/t-钢（本项目取0.2kg/t-钢）；本项目</w:t>
            </w:r>
            <w:r>
              <w:rPr>
                <w:rFonts w:hint="eastAsia"/>
                <w:color w:val="auto"/>
                <w:spacing w:val="8"/>
                <w:kern w:val="24"/>
                <w:sz w:val="24"/>
                <w:highlight w:val="none"/>
                <w:lang w:val="zh-CN"/>
              </w:rPr>
              <w:t>数控火焰切割机所用原料为：</w:t>
            </w:r>
            <w:r>
              <w:rPr>
                <w:rFonts w:hint="eastAsia" w:ascii="Times New Roman" w:hAnsi="Times New Roman" w:eastAsia="宋体"/>
                <w:bCs/>
                <w:color w:val="auto"/>
                <w:sz w:val="24"/>
                <w:highlight w:val="none"/>
                <w:lang w:eastAsia="zh-CN"/>
              </w:rPr>
              <w:t>丙炔</w:t>
            </w:r>
            <w:r>
              <w:rPr>
                <w:rFonts w:hint="eastAsia"/>
                <w:bCs/>
                <w:color w:val="auto"/>
                <w:sz w:val="24"/>
                <w:highlight w:val="none"/>
                <w:lang w:eastAsia="zh-CN"/>
              </w:rPr>
              <w:t>、</w:t>
            </w:r>
            <w:r>
              <w:rPr>
                <w:rFonts w:hint="eastAsia" w:ascii="Times New Roman" w:hAnsi="Times New Roman" w:eastAsia="宋体"/>
                <w:bCs/>
                <w:color w:val="auto"/>
                <w:sz w:val="24"/>
                <w:highlight w:val="none"/>
                <w:lang w:eastAsia="zh-CN"/>
              </w:rPr>
              <w:t>氧气</w:t>
            </w:r>
            <w:r>
              <w:rPr>
                <w:rFonts w:hint="eastAsia"/>
                <w:bCs/>
                <w:color w:val="auto"/>
                <w:sz w:val="24"/>
                <w:highlight w:val="none"/>
                <w:lang w:eastAsia="zh-CN"/>
              </w:rPr>
              <w:t>、</w:t>
            </w:r>
            <w:r>
              <w:rPr>
                <w:rFonts w:hint="eastAsia" w:ascii="Times New Roman" w:hAnsi="Times New Roman" w:eastAsia="宋体"/>
                <w:bCs/>
                <w:color w:val="auto"/>
                <w:sz w:val="24"/>
                <w:highlight w:val="none"/>
                <w:lang w:eastAsia="zh-CN"/>
              </w:rPr>
              <w:t>液氧</w:t>
            </w:r>
            <w:r>
              <w:rPr>
                <w:rFonts w:hint="eastAsia"/>
                <w:bCs/>
                <w:color w:val="auto"/>
                <w:sz w:val="24"/>
                <w:highlight w:val="none"/>
                <w:lang w:eastAsia="zh-CN"/>
              </w:rPr>
              <w:t>、</w:t>
            </w:r>
            <w:r>
              <w:rPr>
                <w:rFonts w:hint="eastAsia" w:ascii="Times New Roman" w:hAnsi="Times New Roman" w:eastAsia="宋体"/>
                <w:bCs/>
                <w:color w:val="auto"/>
                <w:sz w:val="24"/>
                <w:highlight w:val="none"/>
                <w:lang w:eastAsia="zh-CN"/>
              </w:rPr>
              <w:t>二氧化碳</w:t>
            </w:r>
            <w:r>
              <w:rPr>
                <w:rFonts w:hint="eastAsia"/>
                <w:bCs/>
                <w:color w:val="auto"/>
                <w:sz w:val="24"/>
                <w:highlight w:val="none"/>
                <w:lang w:eastAsia="zh-CN"/>
              </w:rPr>
              <w:t>，</w:t>
            </w:r>
            <w:r>
              <w:rPr>
                <w:rFonts w:hint="eastAsia"/>
                <w:color w:val="auto"/>
                <w:sz w:val="24"/>
                <w:highlight w:val="none"/>
                <w:lang w:val="en-US" w:eastAsia="zh-CN"/>
              </w:rPr>
              <w:t>设置收尘措施，排污系数取低值。特种钢、普通钢板、圆钢用量为1400t/a，则烟尘产生量为0.28t/a。</w:t>
            </w:r>
          </w:p>
          <w:p>
            <w:pPr>
              <w:pStyle w:val="22"/>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default" w:ascii="Times New Roman" w:hAnsi="Times New Roman" w:eastAsia="宋体"/>
                <w:bCs/>
                <w:color w:val="auto"/>
                <w:sz w:val="24"/>
                <w:highlight w:val="none"/>
                <w:lang w:val="en-US" w:eastAsia="zh-CN"/>
              </w:rPr>
            </w:pPr>
            <w:r>
              <w:rPr>
                <w:rFonts w:hint="eastAsia"/>
                <w:color w:val="auto"/>
                <w:spacing w:val="8"/>
                <w:kern w:val="24"/>
                <w:sz w:val="24"/>
                <w:highlight w:val="none"/>
                <w:lang w:val="zh-CN"/>
              </w:rPr>
              <w:t>数控火焰切割机操作平台尺寸为：</w:t>
            </w:r>
            <w:r>
              <w:rPr>
                <w:rFonts w:hint="eastAsia"/>
                <w:color w:val="auto"/>
                <w:spacing w:val="8"/>
                <w:kern w:val="24"/>
                <w:sz w:val="24"/>
                <w:highlight w:val="none"/>
                <w:lang w:val="en-US" w:eastAsia="zh-CN"/>
              </w:rPr>
              <w:t>14m×4m，在操作平台两侧分别设置3个吸风口（φ0.3m），收集后的废气引入1#脉冲布袋除尘器处理后（4000m</w:t>
            </w:r>
            <w:r>
              <w:rPr>
                <w:rFonts w:hint="eastAsia"/>
                <w:color w:val="auto"/>
                <w:spacing w:val="8"/>
                <w:kern w:val="24"/>
                <w:sz w:val="24"/>
                <w:highlight w:val="none"/>
                <w:vertAlign w:val="superscript"/>
                <w:lang w:val="en-US" w:eastAsia="zh-CN"/>
              </w:rPr>
              <w:t>3</w:t>
            </w:r>
            <w:r>
              <w:rPr>
                <w:rFonts w:hint="eastAsia"/>
                <w:color w:val="auto"/>
                <w:spacing w:val="8"/>
                <w:kern w:val="24"/>
                <w:sz w:val="24"/>
                <w:highlight w:val="none"/>
                <w:lang w:val="en-US" w:eastAsia="zh-CN"/>
              </w:rPr>
              <w:t>/h），经1根15m高排气筒排放。</w:t>
            </w:r>
          </w:p>
          <w:p>
            <w:pPr>
              <w:pStyle w:val="22"/>
              <w:keepNext w:val="0"/>
              <w:keepLines w:val="0"/>
              <w:pageBreakBefore w:val="0"/>
              <w:widowControl w:val="0"/>
              <w:kinsoku/>
              <w:wordWrap/>
              <w:overflowPunct/>
              <w:topLinePunct w:val="0"/>
              <w:autoSpaceDE/>
              <w:autoSpaceDN/>
              <w:bidi w:val="0"/>
              <w:adjustRightInd/>
              <w:snapToGrid/>
              <w:spacing w:line="360" w:lineRule="auto"/>
              <w:ind w:left="0" w:right="0" w:firstLine="512" w:firstLineChars="200"/>
              <w:textAlignment w:val="auto"/>
              <w:rPr>
                <w:rFonts w:hint="eastAsia" w:cs="Times New Roman"/>
                <w:bCs/>
                <w:color w:val="auto"/>
                <w:sz w:val="24"/>
                <w:highlight w:val="none"/>
                <w:lang w:val="en-US" w:eastAsia="zh-CN"/>
              </w:rPr>
            </w:pPr>
            <w:r>
              <w:rPr>
                <w:rFonts w:hint="eastAsia"/>
                <w:color w:val="auto"/>
                <w:spacing w:val="8"/>
                <w:kern w:val="24"/>
                <w:sz w:val="24"/>
                <w:highlight w:val="none"/>
                <w:lang w:val="zh-CN"/>
              </w:rPr>
              <w:t>数控火焰切割机年工作</w:t>
            </w:r>
            <w:r>
              <w:rPr>
                <w:rFonts w:hint="eastAsia"/>
                <w:color w:val="auto"/>
                <w:spacing w:val="8"/>
                <w:kern w:val="24"/>
                <w:sz w:val="24"/>
                <w:highlight w:val="none"/>
                <w:lang w:val="en-US" w:eastAsia="zh-CN"/>
              </w:rPr>
              <w:t>200h，颗粒物收集效率以80%计；则颗粒物产生浓度为280mg/m</w:t>
            </w:r>
            <w:r>
              <w:rPr>
                <w:rFonts w:hint="eastAsia"/>
                <w:color w:val="auto"/>
                <w:spacing w:val="8"/>
                <w:kern w:val="24"/>
                <w:sz w:val="24"/>
                <w:highlight w:val="none"/>
                <w:vertAlign w:val="superscript"/>
                <w:lang w:val="en-US" w:eastAsia="zh-CN"/>
              </w:rPr>
              <w:t>3</w:t>
            </w:r>
            <w:r>
              <w:rPr>
                <w:rFonts w:hint="eastAsia"/>
                <w:color w:val="auto"/>
                <w:spacing w:val="8"/>
                <w:kern w:val="24"/>
                <w:sz w:val="24"/>
                <w:highlight w:val="none"/>
                <w:lang w:val="en-US" w:eastAsia="zh-CN"/>
              </w:rPr>
              <w:t>，产生速率为1.12kg/h，脉冲布袋除尘器处理效率以99%计，则颗粒物排放浓度为2.8mg/m</w:t>
            </w:r>
            <w:r>
              <w:rPr>
                <w:rFonts w:hint="eastAsia"/>
                <w:color w:val="auto"/>
                <w:spacing w:val="8"/>
                <w:kern w:val="24"/>
                <w:sz w:val="24"/>
                <w:highlight w:val="none"/>
                <w:vertAlign w:val="superscript"/>
                <w:lang w:val="en-US" w:eastAsia="zh-CN"/>
              </w:rPr>
              <w:t>3</w:t>
            </w:r>
            <w:r>
              <w:rPr>
                <w:rFonts w:hint="eastAsia"/>
                <w:color w:val="auto"/>
                <w:spacing w:val="8"/>
                <w:kern w:val="24"/>
                <w:sz w:val="24"/>
                <w:highlight w:val="none"/>
                <w:lang w:val="en-US" w:eastAsia="zh-CN"/>
              </w:rPr>
              <w:t>，排放速率为0.0112kg/h，排放量为0.00224t/a。</w:t>
            </w:r>
            <w:r>
              <w:rPr>
                <w:rFonts w:hint="eastAsia" w:ascii="Times New Roman" w:hAnsi="Times New Roman" w:cs="Times New Roman"/>
                <w:color w:val="auto"/>
                <w:sz w:val="24"/>
                <w:szCs w:val="22"/>
                <w:highlight w:val="none"/>
                <w:lang w:eastAsia="zh-CN"/>
              </w:rPr>
              <w:t>有组织废气中的颗粒物排放浓度参照满足</w:t>
            </w:r>
            <w:r>
              <w:rPr>
                <w:rFonts w:hint="default" w:ascii="Times New Roman" w:hAnsi="Times New Roman" w:cs="Times New Roman"/>
                <w:color w:val="auto"/>
                <w:sz w:val="24"/>
                <w:highlight w:val="none"/>
              </w:rPr>
              <w:t>《钢铁工业大气污染物超低排放标准》(DB13/2169-2018)中表1轧钢工序（热处理炉、拉矫、精整、抛丸、修磨、焊接机及其他生产设施）颗粒物排放限值要求</w:t>
            </w:r>
            <w:r>
              <w:rPr>
                <w:rFonts w:hint="eastAsia" w:cs="Times New Roman"/>
                <w:color w:val="auto"/>
                <w:sz w:val="24"/>
                <w:highlight w:val="none"/>
                <w:lang w:eastAsia="zh-CN"/>
              </w:rPr>
              <w:t>，</w:t>
            </w:r>
            <w:r>
              <w:rPr>
                <w:rFonts w:hint="eastAsia"/>
                <w:color w:val="auto"/>
                <w:sz w:val="24"/>
                <w:highlight w:val="none"/>
                <w:lang w:eastAsia="zh-CN"/>
              </w:rPr>
              <w:t>≤</w:t>
            </w:r>
            <w:r>
              <w:rPr>
                <w:rFonts w:hint="default" w:ascii="Times New Roman" w:hAnsi="Times New Roman" w:cs="Times New Roman"/>
                <w:color w:val="auto"/>
                <w:sz w:val="24"/>
                <w:highlight w:val="none"/>
              </w:rPr>
              <w:t>10mg/m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p>
          <w:p>
            <w:pPr>
              <w:keepNext w:val="0"/>
              <w:keepLines w:val="0"/>
              <w:pageBreakBefore w:val="0"/>
              <w:kinsoku/>
              <w:wordWrap/>
              <w:overflowPunct/>
              <w:topLinePunct w:val="0"/>
              <w:autoSpaceDE/>
              <w:autoSpaceDN/>
              <w:bidi w:val="0"/>
              <w:snapToGrid/>
              <w:spacing w:line="360" w:lineRule="auto"/>
              <w:ind w:leftChars="0" w:firstLine="480" w:firstLineChars="200"/>
              <w:textAlignment w:val="auto"/>
              <w:rPr>
                <w:rFonts w:hint="eastAsia" w:ascii="Times New Roman" w:hAnsi="Times New Roman"/>
                <w:color w:val="auto"/>
                <w:w w:val="100"/>
                <w:kern w:val="2"/>
                <w:sz w:val="24"/>
                <w:szCs w:val="24"/>
                <w:highlight w:val="none"/>
                <w:lang w:val="en-US" w:eastAsia="zh-CN" w:bidi="ar-SA"/>
              </w:rPr>
            </w:pPr>
            <w:r>
              <w:rPr>
                <w:rFonts w:hint="eastAsia" w:ascii="Times New Roman" w:hAnsi="Times New Roman" w:cs="宋体"/>
                <w:bCs/>
                <w:color w:val="auto"/>
                <w:sz w:val="24"/>
                <w:highlight w:val="none"/>
              </w:rPr>
              <w:t>布袋除尘器规格（</w:t>
            </w:r>
            <w:r>
              <w:rPr>
                <w:rFonts w:hint="eastAsia" w:ascii="Times New Roman" w:hAnsi="Times New Roman" w:cs="TimesNewRomanPSMT"/>
                <w:color w:val="auto"/>
                <w:sz w:val="24"/>
                <w:highlight w:val="none"/>
              </w:rPr>
              <w:t>风机风量</w:t>
            </w:r>
            <w:r>
              <w:rPr>
                <w:rFonts w:hint="eastAsia" w:ascii="Times New Roman" w:hAnsi="Times New Roman" w:cs="TimesNewRomanPSMT"/>
                <w:color w:val="auto"/>
                <w:sz w:val="24"/>
                <w:highlight w:val="none"/>
                <w:lang w:val="en-US" w:eastAsia="zh-CN"/>
              </w:rPr>
              <w:t>4</w:t>
            </w:r>
            <w:r>
              <w:rPr>
                <w:rFonts w:hint="eastAsia" w:ascii="Times New Roman" w:hAnsi="Times New Roman" w:cs="TimesNewRomanPSMT"/>
                <w:color w:val="auto"/>
                <w:sz w:val="24"/>
                <w:highlight w:val="none"/>
              </w:rPr>
              <w:t>000m</w:t>
            </w:r>
            <w:r>
              <w:rPr>
                <w:rFonts w:hint="eastAsia" w:ascii="Times New Roman" w:hAnsi="Times New Roman" w:cs="TimesNewRomanPSMT"/>
                <w:color w:val="auto"/>
                <w:sz w:val="24"/>
                <w:highlight w:val="none"/>
                <w:vertAlign w:val="superscript"/>
              </w:rPr>
              <w:t>3</w:t>
            </w:r>
            <w:r>
              <w:rPr>
                <w:rFonts w:hint="eastAsia" w:ascii="Times New Roman" w:hAnsi="Times New Roman" w:cs="TimesNewRomanPSMT"/>
                <w:color w:val="auto"/>
                <w:sz w:val="24"/>
                <w:highlight w:val="none"/>
              </w:rPr>
              <w:t>/h，</w:t>
            </w:r>
            <w:r>
              <w:rPr>
                <w:rFonts w:hint="eastAsia" w:ascii="Times New Roman" w:hAnsi="Times New Roman"/>
                <w:color w:val="auto"/>
                <w:sz w:val="24"/>
                <w:highlight w:val="none"/>
              </w:rPr>
              <w:t>布</w:t>
            </w:r>
            <w:r>
              <w:rPr>
                <w:rFonts w:hint="eastAsia" w:ascii="Times New Roman" w:hAnsi="Times New Roman"/>
                <w:color w:val="auto"/>
                <w:sz w:val="24"/>
                <w:szCs w:val="24"/>
                <w:highlight w:val="none"/>
              </w:rPr>
              <w:t>袋尺寸：直径φ</w:t>
            </w:r>
            <w:r>
              <w:rPr>
                <w:rFonts w:ascii="Times New Roman" w:hAnsi="Times New Roman"/>
                <w:color w:val="auto"/>
                <w:sz w:val="24"/>
                <w:szCs w:val="24"/>
                <w:highlight w:val="none"/>
              </w:rPr>
              <w:t>125</w:t>
            </w:r>
            <w:r>
              <w:rPr>
                <w:rFonts w:hint="eastAsia" w:ascii="Times New Roman" w:hAnsi="Times New Roman"/>
                <w:color w:val="auto"/>
                <w:sz w:val="24"/>
                <w:szCs w:val="24"/>
                <w:highlight w:val="none"/>
                <w:lang w:val="en-US" w:eastAsia="zh-CN"/>
              </w:rPr>
              <w:t>mm</w:t>
            </w:r>
            <w:r>
              <w:rPr>
                <w:rFonts w:ascii="Times New Roman" w:hAnsi="Times New Roman"/>
                <w:color w:val="auto"/>
                <w:sz w:val="24"/>
                <w:szCs w:val="24"/>
                <w:highlight w:val="none"/>
              </w:rPr>
              <w:t>×1930</w:t>
            </w:r>
            <w:r>
              <w:rPr>
                <w:rFonts w:hint="eastAsia" w:ascii="Times New Roman" w:hAnsi="Times New Roman"/>
                <w:color w:val="auto"/>
                <w:sz w:val="24"/>
                <w:szCs w:val="24"/>
                <w:highlight w:val="none"/>
                <w:lang w:val="en-US" w:eastAsia="zh-CN"/>
              </w:rPr>
              <w:t>mm</w:t>
            </w:r>
            <w:r>
              <w:rPr>
                <w:rFonts w:hint="eastAsia" w:ascii="Times New Roman" w:hAnsi="Times New Roman"/>
                <w:color w:val="auto"/>
                <w:sz w:val="24"/>
                <w:szCs w:val="24"/>
                <w:highlight w:val="none"/>
              </w:rPr>
              <w:t>，除</w:t>
            </w:r>
            <w:r>
              <w:rPr>
                <w:rFonts w:hint="eastAsia" w:ascii="Times New Roman" w:hAnsi="Times New Roman"/>
                <w:color w:val="auto"/>
                <w:sz w:val="24"/>
                <w:highlight w:val="none"/>
              </w:rPr>
              <w:t>尘器过滤面积：</w:t>
            </w:r>
            <w:r>
              <w:rPr>
                <w:rFonts w:hint="eastAsia" w:ascii="Times New Roman" w:hAnsi="Times New Roman"/>
                <w:color w:val="auto"/>
                <w:sz w:val="24"/>
                <w:highlight w:val="none"/>
                <w:lang w:val="en-US" w:eastAsia="zh-CN"/>
              </w:rPr>
              <w:t>83.3</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2</w:t>
            </w:r>
            <w:r>
              <w:rPr>
                <w:rFonts w:hint="eastAsia" w:ascii="Times New Roman" w:hAnsi="Times New Roman"/>
                <w:color w:val="auto"/>
                <w:sz w:val="24"/>
                <w:highlight w:val="none"/>
              </w:rPr>
              <w:t>，布袋材质：涤纶覆膜无纺布，过滤风速小于等于0.8m/min，清灰方式：离线清灰）。</w:t>
            </w:r>
          </w:p>
          <w:p>
            <w:pPr>
              <w:pStyle w:val="22"/>
              <w:keepNext w:val="0"/>
              <w:keepLines w:val="0"/>
              <w:pageBreakBefore w:val="0"/>
              <w:widowControl w:val="0"/>
              <w:kinsoku/>
              <w:wordWrap/>
              <w:overflowPunct/>
              <w:topLinePunct w:val="0"/>
              <w:bidi w:val="0"/>
              <w:spacing w:line="360" w:lineRule="auto"/>
              <w:ind w:left="0" w:right="0" w:firstLine="480" w:firstLineChars="200"/>
              <w:textAlignment w:val="auto"/>
              <w:rPr>
                <w:rFonts w:hint="eastAsia" w:ascii="Times New Roman" w:hAnsi="Times New Roman" w:eastAsia="宋体"/>
                <w:color w:val="auto"/>
                <w:sz w:val="24"/>
                <w:highlight w:val="none"/>
                <w:lang w:eastAsia="zh-CN"/>
              </w:rPr>
            </w:pPr>
            <w:r>
              <w:rPr>
                <w:rFonts w:hint="eastAsia" w:ascii="Times New Roman" w:hAnsi="Times New Roman" w:eastAsia="宋体"/>
                <w:bCs/>
                <w:color w:val="auto"/>
                <w:sz w:val="24"/>
                <w:highlight w:val="none"/>
                <w:lang w:eastAsia="zh-CN"/>
              </w:rPr>
              <w:t>（</w:t>
            </w:r>
            <w:r>
              <w:rPr>
                <w:rFonts w:hint="eastAsia" w:ascii="Times New Roman" w:hAnsi="Times New Roman" w:eastAsia="宋体"/>
                <w:bCs/>
                <w:color w:val="auto"/>
                <w:sz w:val="24"/>
                <w:highlight w:val="none"/>
                <w:lang w:val="en-US" w:eastAsia="zh-CN"/>
              </w:rPr>
              <w:t>2</w:t>
            </w:r>
            <w:r>
              <w:rPr>
                <w:rFonts w:hint="eastAsia" w:ascii="Times New Roman" w:hAnsi="Times New Roman" w:eastAsia="宋体"/>
                <w:bCs/>
                <w:color w:val="auto"/>
                <w:sz w:val="24"/>
                <w:highlight w:val="none"/>
                <w:lang w:eastAsia="zh-CN"/>
              </w:rPr>
              <w:t>）</w:t>
            </w:r>
            <w:r>
              <w:rPr>
                <w:rFonts w:hint="eastAsia" w:ascii="Times New Roman" w:hAnsi="Times New Roman" w:eastAsia="宋体"/>
                <w:color w:val="auto"/>
                <w:spacing w:val="8"/>
                <w:kern w:val="24"/>
                <w:sz w:val="24"/>
                <w:highlight w:val="none"/>
                <w:lang w:val="zh-CN"/>
              </w:rPr>
              <w:t>自制抛光机废气</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auto"/>
              <w:rPr>
                <w:rFonts w:hint="eastAsia" w:hAnsi="宋体" w:cs="Times New Roman"/>
                <w:color w:val="auto"/>
                <w:kern w:val="2"/>
                <w:sz w:val="24"/>
                <w:szCs w:val="24"/>
                <w:highlight w:val="none"/>
                <w:lang w:val="en-US" w:eastAsia="zh-CN" w:bidi="ar-SA"/>
              </w:rPr>
            </w:pPr>
            <w:r>
              <w:rPr>
                <w:rFonts w:ascii="Times New Roman" w:hAnsi="Times New Roman" w:eastAsia="宋体"/>
                <w:bCs/>
                <w:color w:val="auto"/>
                <w:sz w:val="24"/>
                <w:highlight w:val="none"/>
              </w:rPr>
              <w:t>本项目</w:t>
            </w:r>
            <w:r>
              <w:rPr>
                <w:rFonts w:hint="eastAsia" w:ascii="Times New Roman" w:hAnsi="Times New Roman" w:eastAsia="宋体" w:cs="Times New Roman"/>
                <w:color w:val="auto"/>
                <w:kern w:val="2"/>
                <w:sz w:val="24"/>
                <w:szCs w:val="24"/>
                <w:highlight w:val="none"/>
                <w:lang w:val="en-US" w:eastAsia="zh-CN" w:bidi="ar-SA"/>
              </w:rPr>
              <w:t>自制抛光机为砂轮机表面加装棉质材料，对风机叶表面进行打磨，</w:t>
            </w:r>
            <w:r>
              <w:rPr>
                <w:rFonts w:ascii="Times New Roman" w:hAnsi="Times New Roman" w:eastAsia="宋体" w:cs="Helvetica"/>
                <w:i w:val="0"/>
                <w:caps w:val="0"/>
                <w:color w:val="auto"/>
                <w:spacing w:val="0"/>
                <w:sz w:val="24"/>
                <w:szCs w:val="21"/>
                <w:highlight w:val="none"/>
                <w:shd w:val="clear" w:fill="FFFFFF"/>
              </w:rPr>
              <w:t>既能保证打磨的均匀性，又不损伤叶片，实现打磨后叶片表面光滑、光洁。</w:t>
            </w:r>
            <w:r>
              <w:rPr>
                <w:rFonts w:hint="eastAsia" w:ascii="Times New Roman" w:hAnsi="Times New Roman" w:eastAsia="宋体"/>
                <w:color w:val="auto"/>
                <w:spacing w:val="8"/>
                <w:kern w:val="24"/>
                <w:sz w:val="24"/>
                <w:highlight w:val="none"/>
                <w:lang w:val="zh-CN"/>
              </w:rPr>
              <w:t>自制抛光机</w:t>
            </w:r>
            <w:r>
              <w:rPr>
                <w:rFonts w:ascii="Times New Roman" w:hAnsi="Times New Roman" w:eastAsia="宋体"/>
                <w:bCs/>
                <w:color w:val="auto"/>
                <w:sz w:val="24"/>
                <w:highlight w:val="none"/>
              </w:rPr>
              <w:t>切割下料过程中会产生粉尘，</w:t>
            </w:r>
            <w:r>
              <w:rPr>
                <w:rFonts w:hint="eastAsia" w:hAnsi="宋体" w:cs="Times New Roman"/>
                <w:color w:val="auto"/>
                <w:kern w:val="2"/>
                <w:sz w:val="24"/>
                <w:szCs w:val="24"/>
                <w:highlight w:val="none"/>
                <w:lang w:val="en-US" w:eastAsia="zh-CN" w:bidi="ar-SA"/>
              </w:rPr>
              <w:t>本次技改项目设置2个固定</w:t>
            </w:r>
            <w:r>
              <w:rPr>
                <w:rFonts w:hint="eastAsia" w:ascii="Times New Roman" w:hAnsi="宋体" w:eastAsia="宋体" w:cs="Times New Roman"/>
                <w:color w:val="auto"/>
                <w:kern w:val="2"/>
                <w:sz w:val="24"/>
                <w:szCs w:val="24"/>
                <w:highlight w:val="none"/>
                <w:lang w:val="en-US" w:eastAsia="zh-CN" w:bidi="ar-SA"/>
              </w:rPr>
              <w:t>自制抛光机打磨</w:t>
            </w:r>
            <w:r>
              <w:rPr>
                <w:rFonts w:hint="eastAsia" w:hAnsi="宋体" w:cs="Times New Roman"/>
                <w:color w:val="auto"/>
                <w:kern w:val="2"/>
                <w:sz w:val="24"/>
                <w:szCs w:val="24"/>
                <w:highlight w:val="none"/>
                <w:lang w:val="en-US" w:eastAsia="zh-CN" w:bidi="ar-SA"/>
              </w:rPr>
              <w:t>工位，打磨工位三面围挡，上部设置集气罩（0.5m×1m），收集的废气引入2#套脉冲布袋除尘器处理后</w:t>
            </w:r>
            <w:r>
              <w:rPr>
                <w:rFonts w:hint="eastAsia"/>
                <w:color w:val="auto"/>
                <w:spacing w:val="8"/>
                <w:kern w:val="24"/>
                <w:sz w:val="24"/>
                <w:highlight w:val="none"/>
                <w:lang w:val="en-US" w:eastAsia="zh-CN"/>
              </w:rPr>
              <w:t>（3000m</w:t>
            </w:r>
            <w:r>
              <w:rPr>
                <w:rFonts w:hint="eastAsia"/>
                <w:color w:val="auto"/>
                <w:spacing w:val="8"/>
                <w:kern w:val="24"/>
                <w:sz w:val="24"/>
                <w:highlight w:val="none"/>
                <w:vertAlign w:val="superscript"/>
                <w:lang w:val="en-US" w:eastAsia="zh-CN"/>
              </w:rPr>
              <w:t>3</w:t>
            </w:r>
            <w:r>
              <w:rPr>
                <w:rFonts w:hint="eastAsia"/>
                <w:color w:val="auto"/>
                <w:spacing w:val="8"/>
                <w:kern w:val="24"/>
                <w:sz w:val="24"/>
                <w:highlight w:val="none"/>
                <w:lang w:val="en-US" w:eastAsia="zh-CN"/>
              </w:rPr>
              <w:t>/h）</w:t>
            </w:r>
            <w:r>
              <w:rPr>
                <w:rFonts w:hint="eastAsia" w:hAnsi="宋体" w:cs="Times New Roman"/>
                <w:color w:val="auto"/>
                <w:kern w:val="2"/>
                <w:sz w:val="24"/>
                <w:szCs w:val="24"/>
                <w:highlight w:val="none"/>
                <w:lang w:val="en-US" w:eastAsia="zh-CN" w:bidi="ar-SA"/>
              </w:rPr>
              <w:t>，经1根15m高排气筒排放。</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auto"/>
              <w:rPr>
                <w:rFonts w:hint="eastAsia" w:cs="Times New Roman"/>
                <w:bCs/>
                <w:color w:val="auto"/>
                <w:sz w:val="24"/>
                <w:highlight w:val="none"/>
                <w:lang w:val="en-US" w:eastAsia="zh-CN"/>
              </w:rPr>
            </w:pPr>
            <w:r>
              <w:rPr>
                <w:rFonts w:hint="eastAsia" w:hAnsi="宋体" w:cs="Times New Roman"/>
                <w:color w:val="auto"/>
                <w:kern w:val="2"/>
                <w:sz w:val="24"/>
                <w:szCs w:val="24"/>
                <w:highlight w:val="none"/>
                <w:lang w:val="en-US" w:eastAsia="zh-CN" w:bidi="ar-SA"/>
              </w:rPr>
              <w:t>类比同类企业，</w:t>
            </w:r>
            <w:r>
              <w:rPr>
                <w:rFonts w:ascii="Times New Roman" w:hAnsi="Times New Roman" w:eastAsia="宋体"/>
                <w:bCs/>
                <w:color w:val="auto"/>
                <w:sz w:val="24"/>
                <w:highlight w:val="none"/>
              </w:rPr>
              <w:t>产尘</w:t>
            </w:r>
            <w:r>
              <w:rPr>
                <w:rFonts w:hint="eastAsia"/>
                <w:bCs/>
                <w:color w:val="auto"/>
                <w:sz w:val="24"/>
                <w:highlight w:val="none"/>
                <w:lang w:eastAsia="zh-CN"/>
              </w:rPr>
              <w:t>速率</w:t>
            </w:r>
            <w:r>
              <w:rPr>
                <w:rFonts w:ascii="Times New Roman" w:hAnsi="Times New Roman" w:eastAsia="宋体"/>
                <w:bCs/>
                <w:color w:val="auto"/>
                <w:sz w:val="24"/>
                <w:highlight w:val="none"/>
              </w:rPr>
              <w:t>为0.</w:t>
            </w:r>
            <w:r>
              <w:rPr>
                <w:rFonts w:hint="eastAsia" w:ascii="Times New Roman" w:hAnsi="Times New Roman" w:eastAsia="宋体"/>
                <w:bCs/>
                <w:color w:val="auto"/>
                <w:sz w:val="24"/>
                <w:highlight w:val="none"/>
              </w:rPr>
              <w:t>5</w:t>
            </w:r>
            <w:r>
              <w:rPr>
                <w:rFonts w:ascii="Times New Roman" w:hAnsi="Times New Roman" w:eastAsia="宋体"/>
                <w:bCs/>
                <w:color w:val="auto"/>
                <w:sz w:val="24"/>
                <w:highlight w:val="none"/>
              </w:rPr>
              <w:t>kg/h</w:t>
            </w:r>
            <w:r>
              <w:rPr>
                <w:rFonts w:hint="eastAsia"/>
                <w:bCs/>
                <w:color w:val="auto"/>
                <w:sz w:val="24"/>
                <w:highlight w:val="none"/>
                <w:lang w:eastAsia="zh-CN"/>
              </w:rPr>
              <w:t>，自制抛光机工作时间为</w:t>
            </w:r>
            <w:r>
              <w:rPr>
                <w:rFonts w:hint="eastAsia"/>
                <w:bCs/>
                <w:color w:val="auto"/>
                <w:sz w:val="24"/>
                <w:highlight w:val="none"/>
                <w:lang w:val="en-US" w:eastAsia="zh-CN"/>
              </w:rPr>
              <w:t>200h/a，则颗粒物产生量为0.1t/a</w:t>
            </w:r>
            <w:r>
              <w:rPr>
                <w:rFonts w:ascii="Times New Roman" w:hAnsi="Times New Roman" w:eastAsia="宋体"/>
                <w:bCs/>
                <w:color w:val="auto"/>
                <w:sz w:val="24"/>
                <w:highlight w:val="none"/>
              </w:rPr>
              <w:t>。</w:t>
            </w:r>
            <w:r>
              <w:rPr>
                <w:rFonts w:hint="eastAsia"/>
                <w:color w:val="auto"/>
                <w:spacing w:val="8"/>
                <w:kern w:val="24"/>
                <w:sz w:val="24"/>
                <w:highlight w:val="none"/>
                <w:lang w:val="en-US" w:eastAsia="zh-CN"/>
              </w:rPr>
              <w:t>颗粒物收集效率以90%计；则颗粒物产生浓度为150mg/m</w:t>
            </w:r>
            <w:r>
              <w:rPr>
                <w:rFonts w:hint="eastAsia"/>
                <w:color w:val="auto"/>
                <w:spacing w:val="8"/>
                <w:kern w:val="24"/>
                <w:sz w:val="24"/>
                <w:highlight w:val="none"/>
                <w:vertAlign w:val="superscript"/>
                <w:lang w:val="en-US" w:eastAsia="zh-CN"/>
              </w:rPr>
              <w:t>3</w:t>
            </w:r>
            <w:r>
              <w:rPr>
                <w:rFonts w:hint="eastAsia"/>
                <w:color w:val="auto"/>
                <w:spacing w:val="8"/>
                <w:kern w:val="24"/>
                <w:sz w:val="24"/>
                <w:highlight w:val="none"/>
                <w:lang w:val="en-US" w:eastAsia="zh-CN"/>
              </w:rPr>
              <w:t>，脉冲布袋除尘器处理效率以99%计，则颗粒物排放浓度为1.5mg/m</w:t>
            </w:r>
            <w:r>
              <w:rPr>
                <w:rFonts w:hint="eastAsia"/>
                <w:color w:val="auto"/>
                <w:spacing w:val="8"/>
                <w:kern w:val="24"/>
                <w:sz w:val="24"/>
                <w:highlight w:val="none"/>
                <w:vertAlign w:val="superscript"/>
                <w:lang w:val="en-US" w:eastAsia="zh-CN"/>
              </w:rPr>
              <w:t>3</w:t>
            </w:r>
            <w:r>
              <w:rPr>
                <w:rFonts w:hint="eastAsia"/>
                <w:color w:val="auto"/>
                <w:spacing w:val="8"/>
                <w:kern w:val="24"/>
                <w:sz w:val="24"/>
                <w:highlight w:val="none"/>
                <w:lang w:val="en-US" w:eastAsia="zh-CN"/>
              </w:rPr>
              <w:t>，排放速率为0.0045kg/h，排放量为0.0009t/a。</w:t>
            </w:r>
            <w:r>
              <w:rPr>
                <w:rFonts w:hint="eastAsia" w:ascii="Times New Roman" w:hAnsi="Times New Roman" w:cs="Times New Roman"/>
                <w:color w:val="auto"/>
                <w:sz w:val="24"/>
                <w:szCs w:val="22"/>
                <w:highlight w:val="none"/>
                <w:lang w:eastAsia="zh-CN"/>
              </w:rPr>
              <w:t>有组织废气中的颗粒物排放浓度参照满足</w:t>
            </w:r>
            <w:r>
              <w:rPr>
                <w:rFonts w:hint="default" w:ascii="Times New Roman" w:hAnsi="Times New Roman" w:cs="Times New Roman"/>
                <w:color w:val="auto"/>
                <w:sz w:val="24"/>
                <w:highlight w:val="none"/>
              </w:rPr>
              <w:t>《钢铁工业大气污染物超低排放标准》(DB13/2169-2018)中表1轧钢工序（热处理炉、拉矫、精整、抛丸、修磨、焊接机及其他生产设施）颗粒物排放限值要求</w:t>
            </w:r>
            <w:r>
              <w:rPr>
                <w:rFonts w:hint="eastAsia" w:cs="Times New Roman"/>
                <w:color w:val="auto"/>
                <w:sz w:val="24"/>
                <w:highlight w:val="none"/>
                <w:lang w:eastAsia="zh-CN"/>
              </w:rPr>
              <w:t>，</w:t>
            </w:r>
            <w:r>
              <w:rPr>
                <w:rFonts w:hint="eastAsia"/>
                <w:color w:val="auto"/>
                <w:sz w:val="24"/>
                <w:highlight w:val="none"/>
                <w:lang w:eastAsia="zh-CN"/>
              </w:rPr>
              <w:t>≤</w:t>
            </w:r>
            <w:r>
              <w:rPr>
                <w:rFonts w:hint="default" w:ascii="Times New Roman" w:hAnsi="Times New Roman" w:cs="Times New Roman"/>
                <w:color w:val="auto"/>
                <w:sz w:val="24"/>
                <w:highlight w:val="none"/>
              </w:rPr>
              <w:t>10mg/m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p>
          <w:p>
            <w:pPr>
              <w:keepNext w:val="0"/>
              <w:keepLines w:val="0"/>
              <w:pageBreakBefore w:val="0"/>
              <w:kinsoku/>
              <w:wordWrap/>
              <w:overflowPunct/>
              <w:topLinePunct w:val="0"/>
              <w:autoSpaceDE/>
              <w:autoSpaceDN/>
              <w:bidi w:val="0"/>
              <w:snapToGrid/>
              <w:spacing w:line="360" w:lineRule="auto"/>
              <w:ind w:leftChars="0" w:firstLine="480" w:firstLineChars="200"/>
              <w:textAlignment w:val="auto"/>
              <w:rPr>
                <w:rFonts w:hint="eastAsia" w:ascii="Times New Roman" w:hAnsi="Times New Roman"/>
                <w:color w:val="auto"/>
                <w:w w:val="100"/>
                <w:kern w:val="2"/>
                <w:sz w:val="24"/>
                <w:szCs w:val="24"/>
                <w:highlight w:val="none"/>
                <w:lang w:val="en-US" w:eastAsia="zh-CN" w:bidi="ar-SA"/>
              </w:rPr>
            </w:pPr>
            <w:r>
              <w:rPr>
                <w:rFonts w:hint="eastAsia" w:ascii="Times New Roman" w:hAnsi="Times New Roman" w:cs="宋体"/>
                <w:bCs/>
                <w:color w:val="auto"/>
                <w:sz w:val="24"/>
                <w:highlight w:val="none"/>
              </w:rPr>
              <w:t>布袋除尘器规格（</w:t>
            </w:r>
            <w:r>
              <w:rPr>
                <w:rFonts w:hint="eastAsia" w:ascii="Times New Roman" w:hAnsi="Times New Roman" w:cs="TimesNewRomanPSMT"/>
                <w:color w:val="auto"/>
                <w:sz w:val="24"/>
                <w:highlight w:val="none"/>
              </w:rPr>
              <w:t>风机风量</w:t>
            </w:r>
            <w:r>
              <w:rPr>
                <w:rFonts w:hint="eastAsia" w:cs="TimesNewRomanPSMT"/>
                <w:color w:val="auto"/>
                <w:sz w:val="24"/>
                <w:highlight w:val="none"/>
                <w:lang w:val="en-US" w:eastAsia="zh-CN"/>
              </w:rPr>
              <w:t>3</w:t>
            </w:r>
            <w:r>
              <w:rPr>
                <w:rFonts w:hint="eastAsia" w:ascii="Times New Roman" w:hAnsi="Times New Roman" w:cs="TimesNewRomanPSMT"/>
                <w:color w:val="auto"/>
                <w:sz w:val="24"/>
                <w:highlight w:val="none"/>
              </w:rPr>
              <w:t>000m</w:t>
            </w:r>
            <w:r>
              <w:rPr>
                <w:rFonts w:hint="eastAsia" w:ascii="Times New Roman" w:hAnsi="Times New Roman" w:cs="TimesNewRomanPSMT"/>
                <w:color w:val="auto"/>
                <w:sz w:val="24"/>
                <w:highlight w:val="none"/>
                <w:vertAlign w:val="superscript"/>
              </w:rPr>
              <w:t>3</w:t>
            </w:r>
            <w:r>
              <w:rPr>
                <w:rFonts w:hint="eastAsia" w:ascii="Times New Roman" w:hAnsi="Times New Roman" w:cs="TimesNewRomanPSMT"/>
                <w:color w:val="auto"/>
                <w:sz w:val="24"/>
                <w:highlight w:val="none"/>
              </w:rPr>
              <w:t>/h，</w:t>
            </w:r>
            <w:r>
              <w:rPr>
                <w:rFonts w:hint="eastAsia" w:ascii="Times New Roman" w:hAnsi="Times New Roman"/>
                <w:color w:val="auto"/>
                <w:sz w:val="24"/>
                <w:highlight w:val="none"/>
              </w:rPr>
              <w:t>布</w:t>
            </w:r>
            <w:r>
              <w:rPr>
                <w:rFonts w:hint="eastAsia" w:ascii="Times New Roman" w:hAnsi="Times New Roman"/>
                <w:color w:val="auto"/>
                <w:sz w:val="24"/>
                <w:szCs w:val="24"/>
                <w:highlight w:val="none"/>
              </w:rPr>
              <w:t>袋尺寸：直径φ</w:t>
            </w:r>
            <w:r>
              <w:rPr>
                <w:rFonts w:ascii="Times New Roman" w:hAnsi="Times New Roman"/>
                <w:color w:val="auto"/>
                <w:sz w:val="24"/>
                <w:szCs w:val="24"/>
                <w:highlight w:val="none"/>
              </w:rPr>
              <w:t>125</w:t>
            </w:r>
            <w:r>
              <w:rPr>
                <w:rFonts w:hint="eastAsia" w:ascii="Times New Roman" w:hAnsi="Times New Roman"/>
                <w:color w:val="auto"/>
                <w:sz w:val="24"/>
                <w:szCs w:val="24"/>
                <w:highlight w:val="none"/>
                <w:lang w:val="en-US" w:eastAsia="zh-CN"/>
              </w:rPr>
              <w:t>mm</w:t>
            </w:r>
            <w:r>
              <w:rPr>
                <w:rFonts w:ascii="Times New Roman" w:hAnsi="Times New Roman"/>
                <w:color w:val="auto"/>
                <w:sz w:val="24"/>
                <w:szCs w:val="24"/>
                <w:highlight w:val="none"/>
              </w:rPr>
              <w:t>×1930</w:t>
            </w:r>
            <w:r>
              <w:rPr>
                <w:rFonts w:hint="eastAsia" w:ascii="Times New Roman" w:hAnsi="Times New Roman"/>
                <w:color w:val="auto"/>
                <w:sz w:val="24"/>
                <w:szCs w:val="24"/>
                <w:highlight w:val="none"/>
                <w:lang w:val="en-US" w:eastAsia="zh-CN"/>
              </w:rPr>
              <w:t>mm</w:t>
            </w:r>
            <w:r>
              <w:rPr>
                <w:rFonts w:hint="eastAsia" w:ascii="Times New Roman" w:hAnsi="Times New Roman"/>
                <w:color w:val="auto"/>
                <w:sz w:val="24"/>
                <w:szCs w:val="24"/>
                <w:highlight w:val="none"/>
              </w:rPr>
              <w:t>，除</w:t>
            </w:r>
            <w:r>
              <w:rPr>
                <w:rFonts w:hint="eastAsia" w:ascii="Times New Roman" w:hAnsi="Times New Roman"/>
                <w:color w:val="auto"/>
                <w:sz w:val="24"/>
                <w:highlight w:val="none"/>
              </w:rPr>
              <w:t>尘器过滤面积：</w:t>
            </w:r>
            <w:r>
              <w:rPr>
                <w:rFonts w:hint="eastAsia"/>
                <w:color w:val="auto"/>
                <w:sz w:val="24"/>
                <w:highlight w:val="none"/>
                <w:lang w:val="en-US" w:eastAsia="zh-CN"/>
              </w:rPr>
              <w:t>62.5</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2</w:t>
            </w:r>
            <w:r>
              <w:rPr>
                <w:rFonts w:hint="eastAsia" w:ascii="Times New Roman" w:hAnsi="Times New Roman"/>
                <w:color w:val="auto"/>
                <w:sz w:val="24"/>
                <w:highlight w:val="none"/>
              </w:rPr>
              <w:t>，布袋材质：涤纶覆膜无纺布，过滤风速小于等于0.8m/min，清灰方式：离线清灰）。</w:t>
            </w:r>
          </w:p>
          <w:p>
            <w:pPr>
              <w:keepNext w:val="0"/>
              <w:keepLines w:val="0"/>
              <w:pageBreakBefore w:val="0"/>
              <w:widowControl w:val="0"/>
              <w:kinsoku/>
              <w:wordWrap/>
              <w:overflowPunct/>
              <w:topLinePunct w:val="0"/>
              <w:autoSpaceDE/>
              <w:autoSpaceDN/>
              <w:bidi w:val="0"/>
              <w:adjustRightInd/>
              <w:snapToGrid/>
              <w:spacing w:line="360" w:lineRule="auto"/>
              <w:ind w:firstLine="512" w:firstLineChars="200"/>
              <w:textAlignment w:val="auto"/>
              <w:rPr>
                <w:rFonts w:hint="default"/>
                <w:color w:val="auto"/>
                <w:highlight w:val="none"/>
                <w:lang w:val="en-US" w:eastAsia="zh-CN"/>
              </w:rPr>
            </w:pPr>
            <w:r>
              <w:rPr>
                <w:rFonts w:hint="eastAsia"/>
                <w:color w:val="auto"/>
                <w:spacing w:val="8"/>
                <w:kern w:val="24"/>
                <w:sz w:val="24"/>
                <w:highlight w:val="none"/>
                <w:lang w:val="en-US" w:eastAsia="zh-CN"/>
              </w:rPr>
              <w:t>（3）无组织废气：未收集的颗粒物0.066t/a，均为较大金属颗粒物，80%自然沉降，则无组织逸散量为0.0132t/a，颗粒物无组织逸散速率为0.066kg/h。</w:t>
            </w:r>
          </w:p>
          <w:p>
            <w:pPr>
              <w:pStyle w:val="22"/>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eastAsia"/>
                <w:color w:val="auto"/>
                <w:sz w:val="24"/>
                <w:szCs w:val="24"/>
                <w:highlight w:val="none"/>
              </w:rPr>
            </w:pPr>
            <w:r>
              <w:rPr>
                <w:rFonts w:hint="eastAsia" w:ascii="Times New Roman" w:hAnsi="Times New Roman"/>
                <w:color w:val="auto"/>
                <w:sz w:val="24"/>
                <w:highlight w:val="none"/>
              </w:rPr>
              <w:t>采用</w:t>
            </w:r>
            <w:r>
              <w:rPr>
                <w:rFonts w:ascii="Times New Roman" w:hAnsi="Times New Roman"/>
                <w:color w:val="auto"/>
                <w:sz w:val="24"/>
                <w:highlight w:val="none"/>
              </w:rPr>
              <w:t>估算模式预测，颗粒物最大贡献浓度为</w:t>
            </w:r>
            <w:r>
              <w:rPr>
                <w:rFonts w:hint="eastAsia" w:ascii="Times New Roman" w:hAnsi="Times New Roman"/>
                <w:color w:val="auto"/>
                <w:sz w:val="24"/>
                <w:highlight w:val="none"/>
                <w:lang w:val="en-US" w:eastAsia="zh-CN"/>
              </w:rPr>
              <w:t>0.0579</w:t>
            </w:r>
            <w:r>
              <w:rPr>
                <w:rFonts w:ascii="Times New Roman" w:hAnsi="Times New Roman"/>
                <w:color w:val="auto"/>
                <w:sz w:val="24"/>
                <w:highlight w:val="none"/>
              </w:rPr>
              <w:t>mg/m</w:t>
            </w:r>
            <w:r>
              <w:rPr>
                <w:rFonts w:ascii="Times New Roman" w:hAnsi="Times New Roman"/>
                <w:color w:val="auto"/>
                <w:sz w:val="24"/>
                <w:highlight w:val="none"/>
                <w:vertAlign w:val="superscript"/>
              </w:rPr>
              <w:t>3</w:t>
            </w:r>
            <w:r>
              <w:rPr>
                <w:rFonts w:ascii="Times New Roman" w:hAnsi="Times New Roman"/>
                <w:color w:val="auto"/>
                <w:sz w:val="24"/>
                <w:highlight w:val="none"/>
              </w:rPr>
              <w:t>，</w:t>
            </w:r>
            <w:r>
              <w:rPr>
                <w:rFonts w:hint="eastAsia" w:cs="Times New Roman"/>
                <w:bCs/>
                <w:color w:val="auto"/>
                <w:sz w:val="24"/>
                <w:highlight w:val="none"/>
                <w:lang w:val="en-US" w:eastAsia="zh-CN"/>
              </w:rPr>
              <w:t>厂界无组织颗粒物满足</w:t>
            </w:r>
            <w:r>
              <w:rPr>
                <w:color w:val="auto"/>
                <w:sz w:val="24"/>
                <w:highlight w:val="none"/>
              </w:rPr>
              <w:t>《大气污染物综合排放标准》（GB16297-1996）</w:t>
            </w:r>
            <w:r>
              <w:rPr>
                <w:rFonts w:hint="eastAsia"/>
                <w:color w:val="auto"/>
                <w:sz w:val="24"/>
                <w:highlight w:val="none"/>
              </w:rPr>
              <w:t>表2</w:t>
            </w:r>
            <w:r>
              <w:rPr>
                <w:color w:val="auto"/>
                <w:sz w:val="24"/>
                <w:highlight w:val="none"/>
              </w:rPr>
              <w:t>无组织排放监控浓度限值（</w:t>
            </w:r>
            <w:r>
              <w:rPr>
                <w:rFonts w:hint="eastAsia"/>
                <w:color w:val="auto"/>
                <w:sz w:val="24"/>
                <w:highlight w:val="none"/>
                <w:lang w:eastAsia="zh-CN"/>
              </w:rPr>
              <w:t>≤</w:t>
            </w:r>
            <w:r>
              <w:rPr>
                <w:color w:val="auto"/>
                <w:sz w:val="24"/>
                <w:highlight w:val="none"/>
              </w:rPr>
              <w:t>1.0mg/m</w:t>
            </w:r>
            <w:r>
              <w:rPr>
                <w:color w:val="auto"/>
                <w:sz w:val="24"/>
                <w:highlight w:val="none"/>
                <w:vertAlign w:val="superscript"/>
              </w:rPr>
              <w:t>3</w:t>
            </w:r>
            <w:r>
              <w:rPr>
                <w:color w:val="auto"/>
                <w:sz w:val="24"/>
                <w:highlight w:val="none"/>
              </w:rPr>
              <w:t>）</w:t>
            </w:r>
            <w:r>
              <w:rPr>
                <w:rFonts w:hint="eastAsia"/>
                <w:color w:val="auto"/>
                <w:sz w:val="24"/>
                <w:highlight w:val="none"/>
                <w:lang w:eastAsia="zh-CN"/>
              </w:rPr>
              <w:t>要求。</w:t>
            </w:r>
          </w:p>
          <w:p>
            <w:pPr>
              <w:pStyle w:val="22"/>
              <w:keepNext w:val="0"/>
              <w:keepLines w:val="0"/>
              <w:pageBreakBefore w:val="0"/>
              <w:widowControl w:val="0"/>
              <w:kinsoku/>
              <w:wordWrap/>
              <w:overflowPunct/>
              <w:topLinePunct w:val="0"/>
              <w:bidi w:val="0"/>
              <w:adjustRightInd/>
              <w:snapToGrid w:val="0"/>
              <w:spacing w:line="360" w:lineRule="auto"/>
              <w:ind w:left="0" w:right="0" w:firstLine="480" w:firstLineChars="200"/>
              <w:jc w:val="left"/>
              <w:textAlignment w:val="auto"/>
              <w:rPr>
                <w:rFonts w:hint="eastAsia"/>
                <w:color w:val="auto"/>
                <w:sz w:val="24"/>
                <w:szCs w:val="24"/>
                <w:highlight w:val="none"/>
              </w:rPr>
            </w:pPr>
            <w:r>
              <w:rPr>
                <w:rFonts w:hint="eastAsia"/>
                <w:color w:val="auto"/>
                <w:sz w:val="24"/>
                <w:szCs w:val="24"/>
                <w:highlight w:val="none"/>
              </w:rPr>
              <w:t>综上，本项目对周边大气环境影响很小。</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left"/>
              <w:textAlignment w:val="auto"/>
              <w:rPr>
                <w:color w:val="auto"/>
                <w:sz w:val="24"/>
                <w:highlight w:val="none"/>
              </w:rPr>
            </w:pPr>
            <w:r>
              <w:rPr>
                <w:rFonts w:hint="eastAsia"/>
                <w:color w:val="auto"/>
                <w:sz w:val="24"/>
                <w:highlight w:val="none"/>
                <w:lang w:val="en-US" w:eastAsia="zh-CN"/>
              </w:rPr>
              <w:t>2</w:t>
            </w:r>
            <w:r>
              <w:rPr>
                <w:color w:val="auto"/>
                <w:sz w:val="24"/>
                <w:highlight w:val="none"/>
              </w:rPr>
              <w:t>、大气环境影响评价工作等级的确定</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left"/>
              <w:textAlignment w:val="auto"/>
              <w:rPr>
                <w:color w:val="auto"/>
                <w:sz w:val="24"/>
                <w:highlight w:val="none"/>
              </w:rPr>
            </w:pPr>
            <w:r>
              <w:rPr>
                <w:color w:val="auto"/>
                <w:sz w:val="24"/>
                <w:highlight w:val="none"/>
              </w:rPr>
              <w:t>①污染源调查</w:t>
            </w:r>
          </w:p>
          <w:p>
            <w:pPr>
              <w:spacing w:line="480" w:lineRule="exact"/>
              <w:ind w:firstLine="482" w:firstLineChars="200"/>
              <w:jc w:val="center"/>
              <w:rPr>
                <w:b/>
                <w:bCs/>
                <w:color w:val="auto"/>
                <w:sz w:val="24"/>
                <w:highlight w:val="none"/>
              </w:rPr>
            </w:pPr>
            <w:r>
              <w:rPr>
                <w:b/>
                <w:bCs/>
                <w:color w:val="auto"/>
                <w:sz w:val="24"/>
                <w:highlight w:val="none"/>
              </w:rPr>
              <w:t>表</w:t>
            </w:r>
            <w:r>
              <w:rPr>
                <w:rFonts w:hint="eastAsia"/>
                <w:b/>
                <w:bCs/>
                <w:color w:val="auto"/>
                <w:sz w:val="24"/>
                <w:highlight w:val="none"/>
                <w:lang w:val="en-US" w:eastAsia="zh-CN"/>
              </w:rPr>
              <w:t>18</w:t>
            </w:r>
            <w:r>
              <w:rPr>
                <w:b/>
                <w:bCs/>
                <w:color w:val="auto"/>
                <w:sz w:val="24"/>
                <w:highlight w:val="none"/>
              </w:rPr>
              <w:t xml:space="preserve">  无组织面源参数表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0" w:type="dxa"/>
                <w:bottom w:w="28" w:type="dxa"/>
                <w:right w:w="0" w:type="dxa"/>
              </w:tblCellMar>
            </w:tblPr>
            <w:tblGrid>
              <w:gridCol w:w="350"/>
              <w:gridCol w:w="1133"/>
              <w:gridCol w:w="523"/>
              <w:gridCol w:w="538"/>
              <w:gridCol w:w="713"/>
              <w:gridCol w:w="661"/>
              <w:gridCol w:w="741"/>
              <w:gridCol w:w="619"/>
              <w:gridCol w:w="1008"/>
              <w:gridCol w:w="998"/>
              <w:gridCol w:w="837"/>
              <w:gridCol w:w="103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0" w:type="dxa"/>
                  <w:bottom w:w="28" w:type="dxa"/>
                  <w:right w:w="0" w:type="dxa"/>
                </w:tblCellMar>
              </w:tblPrEx>
              <w:trPr>
                <w:trHeight w:val="387" w:hRule="atLeast"/>
                <w:jc w:val="center"/>
              </w:trPr>
              <w:tc>
                <w:tcPr>
                  <w:tcW w:w="302" w:type="dxa"/>
                  <w:vMerge w:val="restart"/>
                  <w:vAlign w:val="center"/>
                </w:tcPr>
                <w:p>
                  <w:pPr>
                    <w:jc w:val="center"/>
                    <w:rPr>
                      <w:color w:val="auto"/>
                      <w:sz w:val="23"/>
                      <w:szCs w:val="23"/>
                      <w:highlight w:val="none"/>
                    </w:rPr>
                  </w:pPr>
                  <w:r>
                    <w:rPr>
                      <w:color w:val="auto"/>
                      <w:sz w:val="23"/>
                      <w:szCs w:val="23"/>
                      <w:highlight w:val="none"/>
                    </w:rPr>
                    <w:t>名称</w:t>
                  </w:r>
                </w:p>
              </w:tc>
              <w:tc>
                <w:tcPr>
                  <w:tcW w:w="977" w:type="dxa"/>
                  <w:vMerge w:val="restart"/>
                  <w:tcBorders>
                    <w:right w:val="single" w:color="auto" w:sz="4" w:space="0"/>
                  </w:tcBorders>
                  <w:vAlign w:val="center"/>
                </w:tcPr>
                <w:p>
                  <w:pPr>
                    <w:jc w:val="center"/>
                    <w:rPr>
                      <w:color w:val="auto"/>
                      <w:sz w:val="23"/>
                      <w:szCs w:val="23"/>
                      <w:highlight w:val="none"/>
                    </w:rPr>
                  </w:pPr>
                  <w:r>
                    <w:rPr>
                      <w:color w:val="auto"/>
                      <w:sz w:val="23"/>
                      <w:szCs w:val="23"/>
                      <w:highlight w:val="none"/>
                    </w:rPr>
                    <w:t>污染源</w:t>
                  </w:r>
                </w:p>
              </w:tc>
              <w:tc>
                <w:tcPr>
                  <w:tcW w:w="915" w:type="dxa"/>
                  <w:gridSpan w:val="2"/>
                  <w:vAlign w:val="center"/>
                </w:tcPr>
                <w:p>
                  <w:pPr>
                    <w:jc w:val="center"/>
                    <w:rPr>
                      <w:color w:val="auto"/>
                      <w:sz w:val="23"/>
                      <w:szCs w:val="23"/>
                      <w:highlight w:val="none"/>
                    </w:rPr>
                  </w:pPr>
                  <w:r>
                    <w:rPr>
                      <w:color w:val="auto"/>
                      <w:sz w:val="23"/>
                      <w:szCs w:val="23"/>
                      <w:highlight w:val="none"/>
                    </w:rPr>
                    <w:t>面源</w:t>
                  </w:r>
                  <w:r>
                    <w:rPr>
                      <w:rFonts w:hint="eastAsia"/>
                      <w:color w:val="auto"/>
                      <w:sz w:val="23"/>
                      <w:szCs w:val="23"/>
                      <w:highlight w:val="none"/>
                      <w:lang w:eastAsia="zh-CN"/>
                    </w:rPr>
                    <w:t>起点</w:t>
                  </w:r>
                  <w:r>
                    <w:rPr>
                      <w:color w:val="auto"/>
                      <w:sz w:val="23"/>
                      <w:szCs w:val="23"/>
                      <w:highlight w:val="none"/>
                    </w:rPr>
                    <w:t>坐标/m</w:t>
                  </w:r>
                </w:p>
              </w:tc>
              <w:tc>
                <w:tcPr>
                  <w:tcW w:w="615" w:type="dxa"/>
                  <w:vMerge w:val="restart"/>
                  <w:vAlign w:val="center"/>
                </w:tcPr>
                <w:p>
                  <w:pPr>
                    <w:jc w:val="center"/>
                    <w:rPr>
                      <w:color w:val="auto"/>
                      <w:sz w:val="23"/>
                      <w:szCs w:val="23"/>
                      <w:highlight w:val="none"/>
                    </w:rPr>
                  </w:pPr>
                  <w:r>
                    <w:rPr>
                      <w:color w:val="auto"/>
                      <w:sz w:val="23"/>
                      <w:szCs w:val="23"/>
                      <w:highlight w:val="none"/>
                    </w:rPr>
                    <w:t>面源海拔高度/m</w:t>
                  </w:r>
                </w:p>
              </w:tc>
              <w:tc>
                <w:tcPr>
                  <w:tcW w:w="570" w:type="dxa"/>
                  <w:vMerge w:val="restart"/>
                  <w:vAlign w:val="center"/>
                </w:tcPr>
                <w:p>
                  <w:pPr>
                    <w:jc w:val="center"/>
                    <w:rPr>
                      <w:color w:val="auto"/>
                      <w:sz w:val="23"/>
                      <w:szCs w:val="23"/>
                      <w:highlight w:val="none"/>
                    </w:rPr>
                  </w:pPr>
                  <w:r>
                    <w:rPr>
                      <w:color w:val="auto"/>
                      <w:sz w:val="23"/>
                      <w:szCs w:val="23"/>
                      <w:highlight w:val="none"/>
                    </w:rPr>
                    <w:t>面源</w:t>
                  </w:r>
                </w:p>
                <w:p>
                  <w:pPr>
                    <w:jc w:val="center"/>
                    <w:rPr>
                      <w:color w:val="auto"/>
                      <w:sz w:val="23"/>
                      <w:szCs w:val="23"/>
                      <w:highlight w:val="none"/>
                    </w:rPr>
                  </w:pPr>
                  <w:r>
                    <w:rPr>
                      <w:color w:val="auto"/>
                      <w:sz w:val="23"/>
                      <w:szCs w:val="23"/>
                      <w:highlight w:val="none"/>
                    </w:rPr>
                    <w:t>长度/m</w:t>
                  </w:r>
                </w:p>
              </w:tc>
              <w:tc>
                <w:tcPr>
                  <w:tcW w:w="639" w:type="dxa"/>
                  <w:vMerge w:val="restart"/>
                  <w:vAlign w:val="center"/>
                </w:tcPr>
                <w:p>
                  <w:pPr>
                    <w:jc w:val="center"/>
                    <w:rPr>
                      <w:color w:val="auto"/>
                      <w:sz w:val="23"/>
                      <w:szCs w:val="23"/>
                      <w:highlight w:val="none"/>
                    </w:rPr>
                  </w:pPr>
                  <w:r>
                    <w:rPr>
                      <w:color w:val="auto"/>
                      <w:sz w:val="23"/>
                      <w:szCs w:val="23"/>
                      <w:highlight w:val="none"/>
                    </w:rPr>
                    <w:t>面源</w:t>
                  </w:r>
                </w:p>
                <w:p>
                  <w:pPr>
                    <w:jc w:val="center"/>
                    <w:rPr>
                      <w:color w:val="auto"/>
                      <w:sz w:val="23"/>
                      <w:szCs w:val="23"/>
                      <w:highlight w:val="none"/>
                    </w:rPr>
                  </w:pPr>
                  <w:r>
                    <w:rPr>
                      <w:color w:val="auto"/>
                      <w:sz w:val="23"/>
                      <w:szCs w:val="23"/>
                      <w:highlight w:val="none"/>
                    </w:rPr>
                    <w:t>宽度/</w:t>
                  </w:r>
                </w:p>
                <w:p>
                  <w:pPr>
                    <w:jc w:val="center"/>
                    <w:rPr>
                      <w:color w:val="auto"/>
                      <w:sz w:val="23"/>
                      <w:szCs w:val="23"/>
                      <w:highlight w:val="none"/>
                    </w:rPr>
                  </w:pPr>
                  <w:r>
                    <w:rPr>
                      <w:color w:val="auto"/>
                      <w:sz w:val="23"/>
                      <w:szCs w:val="23"/>
                      <w:highlight w:val="none"/>
                    </w:rPr>
                    <w:t>m</w:t>
                  </w:r>
                </w:p>
              </w:tc>
              <w:tc>
                <w:tcPr>
                  <w:tcW w:w="534" w:type="dxa"/>
                  <w:vMerge w:val="restart"/>
                  <w:vAlign w:val="center"/>
                </w:tcPr>
                <w:p>
                  <w:pPr>
                    <w:jc w:val="center"/>
                    <w:rPr>
                      <w:color w:val="auto"/>
                      <w:sz w:val="23"/>
                      <w:szCs w:val="23"/>
                      <w:highlight w:val="none"/>
                    </w:rPr>
                  </w:pPr>
                  <w:r>
                    <w:rPr>
                      <w:color w:val="auto"/>
                      <w:sz w:val="23"/>
                      <w:szCs w:val="23"/>
                      <w:highlight w:val="none"/>
                    </w:rPr>
                    <w:t>与正北夹角º</w:t>
                  </w:r>
                </w:p>
              </w:tc>
              <w:tc>
                <w:tcPr>
                  <w:tcW w:w="869" w:type="dxa"/>
                  <w:vMerge w:val="restart"/>
                  <w:vAlign w:val="center"/>
                </w:tcPr>
                <w:p>
                  <w:pPr>
                    <w:jc w:val="center"/>
                    <w:rPr>
                      <w:color w:val="auto"/>
                      <w:sz w:val="23"/>
                      <w:szCs w:val="23"/>
                      <w:highlight w:val="none"/>
                    </w:rPr>
                  </w:pPr>
                  <w:r>
                    <w:rPr>
                      <w:color w:val="auto"/>
                      <w:sz w:val="23"/>
                      <w:szCs w:val="23"/>
                      <w:highlight w:val="none"/>
                    </w:rPr>
                    <w:t>面源有效排放高度/m</w:t>
                  </w:r>
                </w:p>
              </w:tc>
              <w:tc>
                <w:tcPr>
                  <w:tcW w:w="861" w:type="dxa"/>
                  <w:vMerge w:val="restart"/>
                  <w:vAlign w:val="center"/>
                </w:tcPr>
                <w:p>
                  <w:pPr>
                    <w:jc w:val="center"/>
                    <w:rPr>
                      <w:color w:val="auto"/>
                      <w:sz w:val="23"/>
                      <w:szCs w:val="23"/>
                      <w:highlight w:val="none"/>
                    </w:rPr>
                  </w:pPr>
                  <w:r>
                    <w:rPr>
                      <w:color w:val="auto"/>
                      <w:sz w:val="23"/>
                      <w:szCs w:val="23"/>
                      <w:highlight w:val="none"/>
                    </w:rPr>
                    <w:t>年排放小时数h</w:t>
                  </w:r>
                </w:p>
              </w:tc>
              <w:tc>
                <w:tcPr>
                  <w:tcW w:w="722" w:type="dxa"/>
                  <w:vMerge w:val="restart"/>
                  <w:vAlign w:val="center"/>
                </w:tcPr>
                <w:p>
                  <w:pPr>
                    <w:jc w:val="center"/>
                    <w:rPr>
                      <w:color w:val="auto"/>
                      <w:sz w:val="23"/>
                      <w:szCs w:val="23"/>
                      <w:highlight w:val="none"/>
                    </w:rPr>
                  </w:pPr>
                  <w:r>
                    <w:rPr>
                      <w:color w:val="auto"/>
                      <w:sz w:val="23"/>
                      <w:szCs w:val="23"/>
                      <w:highlight w:val="none"/>
                    </w:rPr>
                    <w:t>排放工况</w:t>
                  </w:r>
                </w:p>
              </w:tc>
              <w:tc>
                <w:tcPr>
                  <w:tcW w:w="891" w:type="dxa"/>
                  <w:vAlign w:val="center"/>
                </w:tcPr>
                <w:p>
                  <w:pPr>
                    <w:jc w:val="center"/>
                    <w:rPr>
                      <w:color w:val="auto"/>
                      <w:sz w:val="23"/>
                      <w:szCs w:val="23"/>
                      <w:highlight w:val="none"/>
                    </w:rPr>
                  </w:pPr>
                  <w:r>
                    <w:rPr>
                      <w:color w:val="auto"/>
                      <w:sz w:val="23"/>
                      <w:szCs w:val="23"/>
                      <w:highlight w:val="none"/>
                    </w:rPr>
                    <w:t>污染物排放速率/(kg/h)</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0" w:type="dxa"/>
                  <w:bottom w:w="28" w:type="dxa"/>
                  <w:right w:w="0" w:type="dxa"/>
                </w:tblCellMar>
              </w:tblPrEx>
              <w:trPr>
                <w:trHeight w:val="90" w:hRule="atLeast"/>
                <w:jc w:val="center"/>
              </w:trPr>
              <w:tc>
                <w:tcPr>
                  <w:tcW w:w="302" w:type="dxa"/>
                  <w:vMerge w:val="continue"/>
                  <w:vAlign w:val="center"/>
                </w:tcPr>
                <w:p>
                  <w:pPr>
                    <w:jc w:val="center"/>
                    <w:rPr>
                      <w:color w:val="auto"/>
                      <w:sz w:val="23"/>
                      <w:szCs w:val="23"/>
                      <w:highlight w:val="none"/>
                    </w:rPr>
                  </w:pPr>
                </w:p>
              </w:tc>
              <w:tc>
                <w:tcPr>
                  <w:tcW w:w="977" w:type="dxa"/>
                  <w:vMerge w:val="continue"/>
                  <w:tcBorders>
                    <w:right w:val="single" w:color="auto" w:sz="4" w:space="0"/>
                  </w:tcBorders>
                  <w:vAlign w:val="center"/>
                </w:tcPr>
                <w:p>
                  <w:pPr>
                    <w:jc w:val="center"/>
                    <w:rPr>
                      <w:color w:val="auto"/>
                      <w:sz w:val="23"/>
                      <w:szCs w:val="23"/>
                      <w:highlight w:val="none"/>
                    </w:rPr>
                  </w:pPr>
                </w:p>
              </w:tc>
              <w:tc>
                <w:tcPr>
                  <w:tcW w:w="451" w:type="dxa"/>
                  <w:vAlign w:val="center"/>
                </w:tcPr>
                <w:p>
                  <w:pPr>
                    <w:jc w:val="center"/>
                    <w:rPr>
                      <w:color w:val="auto"/>
                      <w:sz w:val="23"/>
                      <w:szCs w:val="23"/>
                      <w:highlight w:val="none"/>
                    </w:rPr>
                  </w:pPr>
                  <w:r>
                    <w:rPr>
                      <w:color w:val="auto"/>
                      <w:sz w:val="23"/>
                      <w:szCs w:val="23"/>
                      <w:highlight w:val="none"/>
                    </w:rPr>
                    <w:t>X</w:t>
                  </w:r>
                </w:p>
              </w:tc>
              <w:tc>
                <w:tcPr>
                  <w:tcW w:w="464" w:type="dxa"/>
                  <w:vAlign w:val="center"/>
                </w:tcPr>
                <w:p>
                  <w:pPr>
                    <w:jc w:val="center"/>
                    <w:rPr>
                      <w:color w:val="auto"/>
                      <w:sz w:val="23"/>
                      <w:szCs w:val="23"/>
                      <w:highlight w:val="none"/>
                    </w:rPr>
                  </w:pPr>
                  <w:r>
                    <w:rPr>
                      <w:color w:val="auto"/>
                      <w:sz w:val="23"/>
                      <w:szCs w:val="23"/>
                      <w:highlight w:val="none"/>
                    </w:rPr>
                    <w:t>Y</w:t>
                  </w:r>
                </w:p>
              </w:tc>
              <w:tc>
                <w:tcPr>
                  <w:tcW w:w="615" w:type="dxa"/>
                  <w:vMerge w:val="continue"/>
                  <w:vAlign w:val="center"/>
                </w:tcPr>
                <w:p>
                  <w:pPr>
                    <w:jc w:val="center"/>
                    <w:rPr>
                      <w:color w:val="auto"/>
                      <w:sz w:val="23"/>
                      <w:szCs w:val="23"/>
                      <w:highlight w:val="none"/>
                    </w:rPr>
                  </w:pPr>
                </w:p>
              </w:tc>
              <w:tc>
                <w:tcPr>
                  <w:tcW w:w="570" w:type="dxa"/>
                  <w:vMerge w:val="continue"/>
                  <w:vAlign w:val="center"/>
                </w:tcPr>
                <w:p>
                  <w:pPr>
                    <w:jc w:val="center"/>
                    <w:rPr>
                      <w:color w:val="auto"/>
                      <w:sz w:val="23"/>
                      <w:szCs w:val="23"/>
                      <w:highlight w:val="none"/>
                    </w:rPr>
                  </w:pPr>
                </w:p>
              </w:tc>
              <w:tc>
                <w:tcPr>
                  <w:tcW w:w="639" w:type="dxa"/>
                  <w:vMerge w:val="continue"/>
                  <w:vAlign w:val="center"/>
                </w:tcPr>
                <w:p>
                  <w:pPr>
                    <w:jc w:val="center"/>
                    <w:rPr>
                      <w:color w:val="auto"/>
                      <w:sz w:val="23"/>
                      <w:szCs w:val="23"/>
                      <w:highlight w:val="none"/>
                    </w:rPr>
                  </w:pPr>
                </w:p>
              </w:tc>
              <w:tc>
                <w:tcPr>
                  <w:tcW w:w="534" w:type="dxa"/>
                  <w:vMerge w:val="continue"/>
                  <w:vAlign w:val="center"/>
                </w:tcPr>
                <w:p>
                  <w:pPr>
                    <w:jc w:val="center"/>
                    <w:rPr>
                      <w:color w:val="auto"/>
                      <w:sz w:val="23"/>
                      <w:szCs w:val="23"/>
                      <w:highlight w:val="none"/>
                    </w:rPr>
                  </w:pPr>
                </w:p>
              </w:tc>
              <w:tc>
                <w:tcPr>
                  <w:tcW w:w="869" w:type="dxa"/>
                  <w:vMerge w:val="continue"/>
                  <w:vAlign w:val="center"/>
                </w:tcPr>
                <w:p>
                  <w:pPr>
                    <w:jc w:val="center"/>
                    <w:rPr>
                      <w:color w:val="auto"/>
                      <w:sz w:val="23"/>
                      <w:szCs w:val="23"/>
                      <w:highlight w:val="none"/>
                    </w:rPr>
                  </w:pPr>
                </w:p>
              </w:tc>
              <w:tc>
                <w:tcPr>
                  <w:tcW w:w="861" w:type="dxa"/>
                  <w:vMerge w:val="continue"/>
                  <w:vAlign w:val="center"/>
                </w:tcPr>
                <w:p>
                  <w:pPr>
                    <w:jc w:val="center"/>
                    <w:rPr>
                      <w:color w:val="auto"/>
                      <w:sz w:val="23"/>
                      <w:szCs w:val="23"/>
                      <w:highlight w:val="none"/>
                    </w:rPr>
                  </w:pPr>
                </w:p>
              </w:tc>
              <w:tc>
                <w:tcPr>
                  <w:tcW w:w="722" w:type="dxa"/>
                  <w:vMerge w:val="continue"/>
                  <w:vAlign w:val="center"/>
                </w:tcPr>
                <w:p>
                  <w:pPr>
                    <w:jc w:val="center"/>
                    <w:rPr>
                      <w:color w:val="auto"/>
                      <w:sz w:val="23"/>
                      <w:szCs w:val="23"/>
                      <w:highlight w:val="none"/>
                    </w:rPr>
                  </w:pPr>
                </w:p>
              </w:tc>
              <w:tc>
                <w:tcPr>
                  <w:tcW w:w="891" w:type="dxa"/>
                  <w:vAlign w:val="center"/>
                </w:tcPr>
                <w:p>
                  <w:pPr>
                    <w:jc w:val="center"/>
                    <w:rPr>
                      <w:color w:val="auto"/>
                      <w:sz w:val="23"/>
                      <w:szCs w:val="23"/>
                      <w:highlight w:val="none"/>
                    </w:rPr>
                  </w:pPr>
                  <w:r>
                    <w:rPr>
                      <w:color w:val="auto"/>
                      <w:sz w:val="23"/>
                      <w:szCs w:val="23"/>
                      <w:highlight w:val="none"/>
                    </w:rPr>
                    <w:t>颗粒物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0" w:type="dxa"/>
                  <w:bottom w:w="28" w:type="dxa"/>
                  <w:right w:w="0" w:type="dxa"/>
                </w:tblCellMar>
              </w:tblPrEx>
              <w:trPr>
                <w:trHeight w:val="272" w:hRule="atLeast"/>
                <w:jc w:val="center"/>
              </w:trPr>
              <w:tc>
                <w:tcPr>
                  <w:tcW w:w="302" w:type="dxa"/>
                  <w:vAlign w:val="center"/>
                </w:tcPr>
                <w:p>
                  <w:pPr>
                    <w:jc w:val="center"/>
                    <w:rPr>
                      <w:color w:val="auto"/>
                      <w:sz w:val="23"/>
                      <w:szCs w:val="23"/>
                      <w:highlight w:val="none"/>
                    </w:rPr>
                  </w:pPr>
                  <w:r>
                    <w:rPr>
                      <w:color w:val="auto"/>
                      <w:sz w:val="23"/>
                      <w:szCs w:val="23"/>
                      <w:highlight w:val="none"/>
                    </w:rPr>
                    <w:t>1</w:t>
                  </w:r>
                </w:p>
              </w:tc>
              <w:tc>
                <w:tcPr>
                  <w:tcW w:w="977" w:type="dxa"/>
                  <w:tcBorders>
                    <w:right w:val="single" w:color="auto" w:sz="4" w:space="0"/>
                  </w:tcBorders>
                  <w:vAlign w:val="center"/>
                </w:tcPr>
                <w:p>
                  <w:pPr>
                    <w:jc w:val="center"/>
                    <w:rPr>
                      <w:rFonts w:hint="eastAsia" w:eastAsia="宋体"/>
                      <w:color w:val="auto"/>
                      <w:sz w:val="23"/>
                      <w:szCs w:val="23"/>
                      <w:highlight w:val="none"/>
                      <w:lang w:eastAsia="zh-CN"/>
                    </w:rPr>
                  </w:pPr>
                  <w:r>
                    <w:rPr>
                      <w:rFonts w:hint="eastAsia"/>
                      <w:color w:val="auto"/>
                      <w:sz w:val="23"/>
                      <w:szCs w:val="23"/>
                      <w:highlight w:val="none"/>
                      <w:lang w:eastAsia="zh-CN"/>
                    </w:rPr>
                    <w:t>车间</w:t>
                  </w:r>
                </w:p>
              </w:tc>
              <w:tc>
                <w:tcPr>
                  <w:tcW w:w="451" w:type="dxa"/>
                  <w:vAlign w:val="center"/>
                </w:tcPr>
                <w:p>
                  <w:pPr>
                    <w:jc w:val="center"/>
                    <w:rPr>
                      <w:rFonts w:hint="default" w:eastAsia="宋体"/>
                      <w:color w:val="auto"/>
                      <w:sz w:val="23"/>
                      <w:szCs w:val="23"/>
                      <w:highlight w:val="none"/>
                      <w:lang w:val="en-US" w:eastAsia="zh-CN"/>
                    </w:rPr>
                  </w:pPr>
                  <w:r>
                    <w:rPr>
                      <w:rFonts w:hint="eastAsia"/>
                      <w:color w:val="auto"/>
                      <w:sz w:val="23"/>
                      <w:szCs w:val="23"/>
                      <w:highlight w:val="none"/>
                      <w:lang w:val="en-US" w:eastAsia="zh-CN"/>
                    </w:rPr>
                    <w:t>0</w:t>
                  </w:r>
                </w:p>
              </w:tc>
              <w:tc>
                <w:tcPr>
                  <w:tcW w:w="464" w:type="dxa"/>
                  <w:vAlign w:val="center"/>
                </w:tcPr>
                <w:p>
                  <w:pPr>
                    <w:jc w:val="center"/>
                    <w:rPr>
                      <w:rFonts w:hint="default" w:eastAsia="宋体"/>
                      <w:color w:val="auto"/>
                      <w:sz w:val="23"/>
                      <w:szCs w:val="23"/>
                      <w:highlight w:val="none"/>
                      <w:lang w:val="en-US" w:eastAsia="zh-CN"/>
                    </w:rPr>
                  </w:pPr>
                  <w:r>
                    <w:rPr>
                      <w:rFonts w:hint="eastAsia"/>
                      <w:color w:val="auto"/>
                      <w:sz w:val="23"/>
                      <w:szCs w:val="23"/>
                      <w:highlight w:val="none"/>
                      <w:lang w:val="en-US" w:eastAsia="zh-CN"/>
                    </w:rPr>
                    <w:t>-62</w:t>
                  </w:r>
                </w:p>
              </w:tc>
              <w:tc>
                <w:tcPr>
                  <w:tcW w:w="615" w:type="dxa"/>
                  <w:vAlign w:val="center"/>
                </w:tcPr>
                <w:p>
                  <w:pPr>
                    <w:jc w:val="center"/>
                    <w:rPr>
                      <w:rFonts w:hint="default" w:eastAsia="宋体"/>
                      <w:color w:val="auto"/>
                      <w:sz w:val="23"/>
                      <w:szCs w:val="23"/>
                      <w:highlight w:val="none"/>
                      <w:lang w:val="en-US" w:eastAsia="zh-CN"/>
                    </w:rPr>
                  </w:pPr>
                  <w:r>
                    <w:rPr>
                      <w:rFonts w:hint="eastAsia"/>
                      <w:color w:val="auto"/>
                      <w:sz w:val="23"/>
                      <w:szCs w:val="23"/>
                      <w:highlight w:val="none"/>
                      <w:lang w:val="en-US" w:eastAsia="zh-CN"/>
                    </w:rPr>
                    <w:t>83.6</w:t>
                  </w:r>
                </w:p>
              </w:tc>
              <w:tc>
                <w:tcPr>
                  <w:tcW w:w="570" w:type="dxa"/>
                  <w:vAlign w:val="center"/>
                </w:tcPr>
                <w:p>
                  <w:pPr>
                    <w:jc w:val="center"/>
                    <w:rPr>
                      <w:rFonts w:hint="default" w:eastAsia="宋体"/>
                      <w:color w:val="auto"/>
                      <w:sz w:val="23"/>
                      <w:szCs w:val="23"/>
                      <w:highlight w:val="none"/>
                      <w:lang w:val="en-US" w:eastAsia="zh-CN"/>
                    </w:rPr>
                  </w:pPr>
                  <w:r>
                    <w:rPr>
                      <w:rFonts w:hint="eastAsia"/>
                      <w:color w:val="auto"/>
                      <w:sz w:val="23"/>
                      <w:szCs w:val="23"/>
                      <w:highlight w:val="none"/>
                      <w:lang w:val="en-US" w:eastAsia="zh-CN"/>
                    </w:rPr>
                    <w:t>64.6</w:t>
                  </w:r>
                </w:p>
              </w:tc>
              <w:tc>
                <w:tcPr>
                  <w:tcW w:w="639" w:type="dxa"/>
                  <w:vAlign w:val="center"/>
                </w:tcPr>
                <w:p>
                  <w:pPr>
                    <w:jc w:val="center"/>
                    <w:rPr>
                      <w:rFonts w:hint="default" w:eastAsia="宋体"/>
                      <w:color w:val="auto"/>
                      <w:sz w:val="23"/>
                      <w:szCs w:val="23"/>
                      <w:highlight w:val="none"/>
                      <w:lang w:val="en-US" w:eastAsia="zh-CN"/>
                    </w:rPr>
                  </w:pPr>
                  <w:r>
                    <w:rPr>
                      <w:rFonts w:hint="eastAsia"/>
                      <w:color w:val="auto"/>
                      <w:sz w:val="23"/>
                      <w:szCs w:val="23"/>
                      <w:highlight w:val="none"/>
                      <w:lang w:val="en-US" w:eastAsia="zh-CN"/>
                    </w:rPr>
                    <w:t>48.47</w:t>
                  </w:r>
                </w:p>
              </w:tc>
              <w:tc>
                <w:tcPr>
                  <w:tcW w:w="534" w:type="dxa"/>
                  <w:vAlign w:val="center"/>
                </w:tcPr>
                <w:p>
                  <w:pPr>
                    <w:jc w:val="center"/>
                    <w:rPr>
                      <w:color w:val="auto"/>
                      <w:sz w:val="23"/>
                      <w:szCs w:val="23"/>
                      <w:highlight w:val="none"/>
                    </w:rPr>
                  </w:pPr>
                  <w:r>
                    <w:rPr>
                      <w:color w:val="auto"/>
                      <w:sz w:val="23"/>
                      <w:szCs w:val="23"/>
                      <w:highlight w:val="none"/>
                    </w:rPr>
                    <w:t>0</w:t>
                  </w:r>
                </w:p>
              </w:tc>
              <w:tc>
                <w:tcPr>
                  <w:tcW w:w="869" w:type="dxa"/>
                  <w:vAlign w:val="center"/>
                </w:tcPr>
                <w:p>
                  <w:pPr>
                    <w:jc w:val="center"/>
                    <w:rPr>
                      <w:rFonts w:hint="default" w:eastAsia="宋体"/>
                      <w:color w:val="auto"/>
                      <w:sz w:val="23"/>
                      <w:szCs w:val="23"/>
                      <w:highlight w:val="none"/>
                      <w:lang w:val="en-US" w:eastAsia="zh-CN"/>
                    </w:rPr>
                  </w:pPr>
                  <w:r>
                    <w:rPr>
                      <w:rFonts w:hint="eastAsia"/>
                      <w:color w:val="auto"/>
                      <w:sz w:val="23"/>
                      <w:szCs w:val="23"/>
                      <w:highlight w:val="none"/>
                      <w:lang w:val="en-US" w:eastAsia="zh-CN"/>
                    </w:rPr>
                    <w:t>8</w:t>
                  </w:r>
                </w:p>
              </w:tc>
              <w:tc>
                <w:tcPr>
                  <w:tcW w:w="861" w:type="dxa"/>
                  <w:vAlign w:val="center"/>
                </w:tcPr>
                <w:p>
                  <w:pPr>
                    <w:jc w:val="center"/>
                    <w:rPr>
                      <w:rFonts w:hint="default" w:eastAsia="宋体"/>
                      <w:color w:val="auto"/>
                      <w:sz w:val="23"/>
                      <w:szCs w:val="23"/>
                      <w:highlight w:val="none"/>
                      <w:lang w:val="en-US" w:eastAsia="zh-CN"/>
                    </w:rPr>
                  </w:pPr>
                  <w:r>
                    <w:rPr>
                      <w:rFonts w:hint="eastAsia"/>
                      <w:color w:val="auto"/>
                      <w:sz w:val="23"/>
                      <w:szCs w:val="23"/>
                      <w:highlight w:val="none"/>
                      <w:lang w:val="en-US" w:eastAsia="zh-CN"/>
                    </w:rPr>
                    <w:t>200</w:t>
                  </w:r>
                </w:p>
              </w:tc>
              <w:tc>
                <w:tcPr>
                  <w:tcW w:w="722" w:type="dxa"/>
                  <w:vAlign w:val="center"/>
                </w:tcPr>
                <w:p>
                  <w:pPr>
                    <w:jc w:val="center"/>
                    <w:rPr>
                      <w:color w:val="auto"/>
                      <w:sz w:val="23"/>
                      <w:szCs w:val="23"/>
                      <w:highlight w:val="none"/>
                    </w:rPr>
                  </w:pPr>
                  <w:r>
                    <w:rPr>
                      <w:color w:val="auto"/>
                      <w:sz w:val="23"/>
                      <w:szCs w:val="23"/>
                      <w:highlight w:val="none"/>
                    </w:rPr>
                    <w:t>正常工况</w:t>
                  </w:r>
                </w:p>
              </w:tc>
              <w:tc>
                <w:tcPr>
                  <w:tcW w:w="891" w:type="dxa"/>
                  <w:vAlign w:val="center"/>
                </w:tcPr>
                <w:p>
                  <w:pPr>
                    <w:jc w:val="center"/>
                    <w:rPr>
                      <w:rFonts w:hint="default" w:eastAsia="宋体"/>
                      <w:color w:val="auto"/>
                      <w:sz w:val="23"/>
                      <w:szCs w:val="23"/>
                      <w:highlight w:val="none"/>
                      <w:lang w:val="en-US" w:eastAsia="zh-CN"/>
                    </w:rPr>
                  </w:pPr>
                  <w:r>
                    <w:rPr>
                      <w:rFonts w:hint="eastAsia"/>
                      <w:color w:val="auto"/>
                      <w:sz w:val="23"/>
                      <w:szCs w:val="23"/>
                      <w:highlight w:val="none"/>
                      <w:lang w:val="en-US" w:eastAsia="zh-CN"/>
                    </w:rPr>
                    <w:t>0.066</w:t>
                  </w:r>
                </w:p>
              </w:tc>
            </w:tr>
          </w:tbl>
          <w:p>
            <w:pPr>
              <w:pStyle w:val="4"/>
              <w:spacing w:before="0" w:line="480" w:lineRule="exact"/>
              <w:jc w:val="center"/>
              <w:rPr>
                <w:rFonts w:hint="eastAsia"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w:t>
            </w:r>
            <w:r>
              <w:rPr>
                <w:rFonts w:hint="eastAsia" w:ascii="Times New Roman" w:hAnsi="Times New Roman" w:cs="Times New Roman"/>
                <w:b/>
                <w:bCs/>
                <w:color w:val="auto"/>
                <w:kern w:val="2"/>
                <w:sz w:val="24"/>
                <w:szCs w:val="24"/>
                <w:highlight w:val="none"/>
                <w:lang w:val="en-US" w:eastAsia="zh-CN" w:bidi="ar-SA"/>
              </w:rPr>
              <w:t>19</w:t>
            </w:r>
            <w:r>
              <w:rPr>
                <w:rFonts w:hint="default" w:ascii="Times New Roman" w:hAnsi="Times New Roman" w:eastAsia="宋体" w:cs="Times New Roman"/>
                <w:b/>
                <w:bCs/>
                <w:color w:val="auto"/>
                <w:kern w:val="2"/>
                <w:sz w:val="24"/>
                <w:szCs w:val="24"/>
                <w:highlight w:val="none"/>
                <w:lang w:val="en-US" w:eastAsia="zh-CN" w:bidi="ar-SA"/>
              </w:rPr>
              <w:t xml:space="preserve">   </w:t>
            </w:r>
            <w:r>
              <w:rPr>
                <w:rFonts w:hint="eastAsia" w:ascii="Times New Roman" w:hAnsi="Times New Roman" w:eastAsia="宋体" w:cs="Times New Roman"/>
                <w:b/>
                <w:bCs/>
                <w:color w:val="auto"/>
                <w:kern w:val="2"/>
                <w:sz w:val="24"/>
                <w:szCs w:val="24"/>
                <w:highlight w:val="none"/>
                <w:lang w:val="en-US" w:eastAsia="zh-CN" w:bidi="ar-SA"/>
              </w:rPr>
              <w:t>点</w:t>
            </w:r>
            <w:r>
              <w:rPr>
                <w:rFonts w:hint="default" w:ascii="Times New Roman" w:hAnsi="Times New Roman" w:eastAsia="宋体" w:cs="Times New Roman"/>
                <w:b/>
                <w:bCs/>
                <w:color w:val="auto"/>
                <w:kern w:val="2"/>
                <w:sz w:val="24"/>
                <w:szCs w:val="24"/>
                <w:highlight w:val="none"/>
                <w:lang w:val="en-US" w:eastAsia="zh-CN" w:bidi="ar-SA"/>
              </w:rPr>
              <w:t>源参数表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377"/>
              <w:gridCol w:w="666"/>
              <w:gridCol w:w="1158"/>
              <w:gridCol w:w="1179"/>
              <w:gridCol w:w="1079"/>
              <w:gridCol w:w="611"/>
              <w:gridCol w:w="803"/>
              <w:gridCol w:w="783"/>
              <w:gridCol w:w="543"/>
              <w:gridCol w:w="547"/>
              <w:gridCol w:w="553"/>
              <w:gridCol w:w="85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06" w:hRule="atLeast"/>
                <w:jc w:val="center"/>
              </w:trPr>
              <w:tc>
                <w:tcPr>
                  <w:tcW w:w="362" w:type="dxa"/>
                  <w:vMerge w:val="restart"/>
                  <w:noWrap w:val="0"/>
                  <w:tcMar>
                    <w:left w:w="28" w:type="dxa"/>
                    <w:right w:w="28" w:type="dxa"/>
                  </w:tcMar>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编号</w:t>
                  </w:r>
                </w:p>
              </w:tc>
              <w:tc>
                <w:tcPr>
                  <w:tcW w:w="639" w:type="dxa"/>
                  <w:vMerge w:val="restart"/>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2243" w:type="dxa"/>
                  <w:gridSpan w:val="2"/>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排气筒底部中心坐标</w:t>
                  </w:r>
                </w:p>
              </w:tc>
              <w:tc>
                <w:tcPr>
                  <w:tcW w:w="1036" w:type="dxa"/>
                  <w:vMerge w:val="restart"/>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排气筒底部海拔高度/m</w:t>
                  </w:r>
                </w:p>
              </w:tc>
              <w:tc>
                <w:tcPr>
                  <w:tcW w:w="586" w:type="dxa"/>
                  <w:vMerge w:val="restart"/>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排气筒高度/m</w:t>
                  </w:r>
                </w:p>
              </w:tc>
              <w:tc>
                <w:tcPr>
                  <w:tcW w:w="771" w:type="dxa"/>
                  <w:vMerge w:val="restart"/>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排气筒出口内径/m</w:t>
                  </w:r>
                </w:p>
              </w:tc>
              <w:tc>
                <w:tcPr>
                  <w:tcW w:w="752" w:type="dxa"/>
                  <w:vMerge w:val="restart"/>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烟气流量/（m/s）</w:t>
                  </w:r>
                </w:p>
              </w:tc>
              <w:tc>
                <w:tcPr>
                  <w:tcW w:w="521" w:type="dxa"/>
                  <w:vMerge w:val="restart"/>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烟气温度/℃</w:t>
                  </w:r>
                </w:p>
              </w:tc>
              <w:tc>
                <w:tcPr>
                  <w:tcW w:w="525" w:type="dxa"/>
                  <w:vMerge w:val="restart"/>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年排放小时数/h</w:t>
                  </w:r>
                </w:p>
              </w:tc>
              <w:tc>
                <w:tcPr>
                  <w:tcW w:w="531" w:type="dxa"/>
                  <w:vMerge w:val="restart"/>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排放工况</w:t>
                  </w:r>
                </w:p>
              </w:tc>
              <w:tc>
                <w:tcPr>
                  <w:tcW w:w="821" w:type="dxa"/>
                  <w:tcBorders>
                    <w:lef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污染物排放速率kg/h</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05" w:hRule="atLeast"/>
                <w:jc w:val="center"/>
              </w:trPr>
              <w:tc>
                <w:tcPr>
                  <w:tcW w:w="362" w:type="dxa"/>
                  <w:vMerge w:val="continue"/>
                  <w:noWrap w:val="0"/>
                  <w:tcMar>
                    <w:left w:w="28" w:type="dxa"/>
                    <w:right w:w="28" w:type="dxa"/>
                  </w:tcMar>
                  <w:vAlign w:val="center"/>
                </w:tcPr>
                <w:p>
                  <w:pPr>
                    <w:spacing w:line="0" w:lineRule="atLeast"/>
                    <w:jc w:val="center"/>
                    <w:rPr>
                      <w:rFonts w:hint="default" w:ascii="Times New Roman" w:hAnsi="Times New Roman" w:cs="Times New Roman"/>
                      <w:color w:val="auto"/>
                      <w:sz w:val="21"/>
                      <w:szCs w:val="21"/>
                      <w:highlight w:val="none"/>
                    </w:rPr>
                  </w:pPr>
                </w:p>
              </w:tc>
              <w:tc>
                <w:tcPr>
                  <w:tcW w:w="639" w:type="dxa"/>
                  <w:vMerge w:val="continue"/>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p>
              </w:tc>
              <w:tc>
                <w:tcPr>
                  <w:tcW w:w="1111" w:type="dxa"/>
                  <w:tcBorders>
                    <w:right w:val="single" w:color="auto" w:sz="4" w:space="0"/>
                  </w:tcBorders>
                  <w:noWrap w:val="0"/>
                  <w:vAlign w:val="center"/>
                </w:tcPr>
                <w:p>
                  <w:pPr>
                    <w:spacing w:line="0" w:lineRule="atLeast"/>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经度</w:t>
                  </w:r>
                </w:p>
              </w:tc>
              <w:tc>
                <w:tcPr>
                  <w:tcW w:w="1132" w:type="dxa"/>
                  <w:tcBorders>
                    <w:right w:val="single" w:color="auto" w:sz="4" w:space="0"/>
                  </w:tcBorders>
                  <w:noWrap w:val="0"/>
                  <w:vAlign w:val="center"/>
                </w:tcPr>
                <w:p>
                  <w:pPr>
                    <w:spacing w:line="0" w:lineRule="atLeast"/>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纬度</w:t>
                  </w:r>
                </w:p>
              </w:tc>
              <w:tc>
                <w:tcPr>
                  <w:tcW w:w="1036" w:type="dxa"/>
                  <w:vMerge w:val="continue"/>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p>
              </w:tc>
              <w:tc>
                <w:tcPr>
                  <w:tcW w:w="586" w:type="dxa"/>
                  <w:vMerge w:val="continue"/>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p>
              </w:tc>
              <w:tc>
                <w:tcPr>
                  <w:tcW w:w="771" w:type="dxa"/>
                  <w:vMerge w:val="continue"/>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p>
              </w:tc>
              <w:tc>
                <w:tcPr>
                  <w:tcW w:w="752" w:type="dxa"/>
                  <w:vMerge w:val="continue"/>
                  <w:noWrap w:val="0"/>
                  <w:vAlign w:val="center"/>
                </w:tcPr>
                <w:p>
                  <w:pPr>
                    <w:spacing w:line="0" w:lineRule="atLeast"/>
                    <w:jc w:val="center"/>
                    <w:rPr>
                      <w:rFonts w:hint="default" w:ascii="Times New Roman" w:hAnsi="Times New Roman" w:cs="Times New Roman"/>
                      <w:color w:val="auto"/>
                      <w:sz w:val="21"/>
                      <w:szCs w:val="21"/>
                      <w:highlight w:val="none"/>
                    </w:rPr>
                  </w:pPr>
                </w:p>
              </w:tc>
              <w:tc>
                <w:tcPr>
                  <w:tcW w:w="521" w:type="dxa"/>
                  <w:vMerge w:val="continue"/>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p>
              </w:tc>
              <w:tc>
                <w:tcPr>
                  <w:tcW w:w="525" w:type="dxa"/>
                  <w:vMerge w:val="continue"/>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p>
              </w:tc>
              <w:tc>
                <w:tcPr>
                  <w:tcW w:w="531" w:type="dxa"/>
                  <w:vMerge w:val="continue"/>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rPr>
                  </w:pPr>
                </w:p>
              </w:tc>
              <w:tc>
                <w:tcPr>
                  <w:tcW w:w="821" w:type="dxa"/>
                  <w:tcBorders>
                    <w:left w:val="single" w:color="auto" w:sz="4" w:space="0"/>
                  </w:tcBorders>
                  <w:noWrap w:val="0"/>
                  <w:vAlign w:val="center"/>
                </w:tcPr>
                <w:p>
                  <w:pPr>
                    <w:snapToGrid w:val="0"/>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sz w:val="21"/>
                      <w:szCs w:val="21"/>
                      <w:highlight w:val="none"/>
                      <w:lang w:eastAsia="zh-CN"/>
                    </w:rPr>
                    <w:t>颗粒物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91" w:hRule="atLeast"/>
                <w:jc w:val="center"/>
              </w:trPr>
              <w:tc>
                <w:tcPr>
                  <w:tcW w:w="362" w:type="dxa"/>
                  <w:noWrap w:val="0"/>
                  <w:tcMar>
                    <w:left w:w="28" w:type="dxa"/>
                    <w:right w:w="28" w:type="dxa"/>
                  </w:tcMar>
                  <w:vAlign w:val="center"/>
                </w:tcPr>
                <w:p>
                  <w:pPr>
                    <w:spacing w:line="0" w:lineRule="atLeast"/>
                    <w:jc w:val="center"/>
                    <w:rPr>
                      <w:rFonts w:hint="default"/>
                      <w:color w:val="auto"/>
                      <w:kern w:val="2"/>
                      <w:sz w:val="21"/>
                      <w:szCs w:val="21"/>
                      <w:highlight w:val="none"/>
                      <w:lang w:val="en-US" w:eastAsia="zh-CN" w:bidi="ar-SA"/>
                    </w:rPr>
                  </w:pPr>
                  <w:r>
                    <w:rPr>
                      <w:color w:val="auto"/>
                      <w:sz w:val="21"/>
                      <w:szCs w:val="21"/>
                      <w:highlight w:val="none"/>
                    </w:rPr>
                    <w:t>1</w:t>
                  </w:r>
                </w:p>
              </w:tc>
              <w:tc>
                <w:tcPr>
                  <w:tcW w:w="639" w:type="dxa"/>
                  <w:tcBorders>
                    <w:right w:val="single" w:color="auto" w:sz="4" w:space="0"/>
                  </w:tcBorders>
                  <w:noWrap w:val="0"/>
                  <w:vAlign w:val="center"/>
                </w:tcPr>
                <w:p>
                  <w:pPr>
                    <w:spacing w:line="0" w:lineRule="atLeast"/>
                    <w:jc w:val="center"/>
                    <w:rPr>
                      <w:rFonts w:hint="default"/>
                      <w:color w:val="auto"/>
                      <w:kern w:val="2"/>
                      <w:sz w:val="21"/>
                      <w:szCs w:val="21"/>
                      <w:highlight w:val="none"/>
                      <w:lang w:val="en-US" w:eastAsia="zh-CN" w:bidi="ar-SA"/>
                    </w:rPr>
                  </w:pPr>
                  <w:r>
                    <w:rPr>
                      <w:rFonts w:hint="eastAsia"/>
                      <w:color w:val="auto"/>
                      <w:sz w:val="21"/>
                      <w:szCs w:val="21"/>
                      <w:highlight w:val="none"/>
                      <w:lang w:val="en-US" w:eastAsia="zh-CN"/>
                    </w:rPr>
                    <w:t>1#排气筒</w:t>
                  </w:r>
                </w:p>
              </w:tc>
              <w:tc>
                <w:tcPr>
                  <w:tcW w:w="1111" w:type="dxa"/>
                  <w:tcBorders>
                    <w:right w:val="single" w:color="auto" w:sz="4" w:space="0"/>
                  </w:tcBorders>
                  <w:noWrap w:val="0"/>
                  <w:vAlign w:val="center"/>
                </w:tcPr>
                <w:p>
                  <w:pPr>
                    <w:spacing w:line="0" w:lineRule="atLeast"/>
                    <w:jc w:val="center"/>
                    <w:rPr>
                      <w:rFonts w:hint="default" w:eastAsia="宋体"/>
                      <w:color w:val="auto"/>
                      <w:kern w:val="2"/>
                      <w:sz w:val="21"/>
                      <w:szCs w:val="21"/>
                      <w:highlight w:val="none"/>
                      <w:lang w:val="en-US" w:eastAsia="zh-CN" w:bidi="ar-SA"/>
                    </w:rPr>
                  </w:pPr>
                  <w:r>
                    <w:rPr>
                      <w:rFonts w:hint="eastAsia"/>
                      <w:color w:val="auto"/>
                      <w:kern w:val="2"/>
                      <w:sz w:val="21"/>
                      <w:szCs w:val="21"/>
                      <w:highlight w:val="none"/>
                      <w:lang w:val="en-US" w:eastAsia="zh-CN" w:bidi="ar-SA"/>
                    </w:rPr>
                    <w:t>118°36′11.55″</w:t>
                  </w:r>
                </w:p>
              </w:tc>
              <w:tc>
                <w:tcPr>
                  <w:tcW w:w="1132" w:type="dxa"/>
                  <w:tcBorders>
                    <w:right w:val="single" w:color="auto" w:sz="4" w:space="0"/>
                  </w:tcBorders>
                  <w:noWrap w:val="0"/>
                  <w:vAlign w:val="center"/>
                </w:tcPr>
                <w:p>
                  <w:pPr>
                    <w:spacing w:line="0" w:lineRule="atLeast"/>
                    <w:jc w:val="center"/>
                    <w:rPr>
                      <w:rFonts w:hint="default" w:eastAsia="宋体"/>
                      <w:color w:val="auto"/>
                      <w:kern w:val="2"/>
                      <w:sz w:val="21"/>
                      <w:szCs w:val="21"/>
                      <w:highlight w:val="none"/>
                      <w:lang w:val="en-US" w:eastAsia="zh-CN" w:bidi="ar-SA"/>
                    </w:rPr>
                  </w:pPr>
                  <w:r>
                    <w:rPr>
                      <w:rFonts w:hint="eastAsia"/>
                      <w:color w:val="auto"/>
                      <w:kern w:val="2"/>
                      <w:sz w:val="21"/>
                      <w:szCs w:val="21"/>
                      <w:highlight w:val="none"/>
                      <w:lang w:val="en-US" w:eastAsia="zh-CN" w:bidi="ar-SA"/>
                    </w:rPr>
                    <w:t>39°58′56.74″</w:t>
                  </w:r>
                </w:p>
              </w:tc>
              <w:tc>
                <w:tcPr>
                  <w:tcW w:w="1036" w:type="dxa"/>
                  <w:tcBorders>
                    <w:right w:val="single" w:color="auto" w:sz="4" w:space="0"/>
                  </w:tcBorders>
                  <w:noWrap w:val="0"/>
                  <w:vAlign w:val="center"/>
                </w:tcPr>
                <w:p>
                  <w:pPr>
                    <w:spacing w:line="0" w:lineRule="atLeast"/>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83.6</w:t>
                  </w:r>
                </w:p>
              </w:tc>
              <w:tc>
                <w:tcPr>
                  <w:tcW w:w="586" w:type="dxa"/>
                  <w:tcBorders>
                    <w:right w:val="single" w:color="auto" w:sz="4" w:space="0"/>
                  </w:tcBorders>
                  <w:noWrap w:val="0"/>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15</w:t>
                  </w:r>
                </w:p>
              </w:tc>
              <w:tc>
                <w:tcPr>
                  <w:tcW w:w="771" w:type="dxa"/>
                  <w:tcBorders>
                    <w:right w:val="single" w:color="auto" w:sz="4" w:space="0"/>
                  </w:tcBorders>
                  <w:noWrap w:val="0"/>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3</w:t>
                  </w:r>
                </w:p>
              </w:tc>
              <w:tc>
                <w:tcPr>
                  <w:tcW w:w="752" w:type="dxa"/>
                  <w:noWrap w:val="0"/>
                  <w:vAlign w:val="center"/>
                </w:tcPr>
                <w:p>
                  <w:pPr>
                    <w:spacing w:line="0" w:lineRule="atLeast"/>
                    <w:jc w:val="center"/>
                    <w:rPr>
                      <w:rFonts w:hint="default"/>
                      <w:color w:val="auto"/>
                      <w:highlight w:val="none"/>
                      <w:lang w:val="en-US" w:eastAsia="zh-CN"/>
                    </w:rPr>
                  </w:pPr>
                  <w:r>
                    <w:rPr>
                      <w:rFonts w:hint="eastAsia"/>
                      <w:color w:val="auto"/>
                      <w:highlight w:val="none"/>
                      <w:lang w:val="en-US" w:eastAsia="zh-CN"/>
                    </w:rPr>
                    <w:t>15.73</w:t>
                  </w:r>
                </w:p>
              </w:tc>
              <w:tc>
                <w:tcPr>
                  <w:tcW w:w="521" w:type="dxa"/>
                  <w:tcBorders>
                    <w:right w:val="single" w:color="auto" w:sz="4" w:space="0"/>
                  </w:tcBorders>
                  <w:noWrap w:val="0"/>
                  <w:vAlign w:val="center"/>
                </w:tcPr>
                <w:p>
                  <w:pPr>
                    <w:spacing w:line="0" w:lineRule="atLeast"/>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30</w:t>
                  </w:r>
                </w:p>
              </w:tc>
              <w:tc>
                <w:tcPr>
                  <w:tcW w:w="525" w:type="dxa"/>
                  <w:tcBorders>
                    <w:right w:val="single" w:color="auto" w:sz="4" w:space="0"/>
                  </w:tcBorders>
                  <w:noWrap w:val="0"/>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200</w:t>
                  </w:r>
                </w:p>
              </w:tc>
              <w:tc>
                <w:tcPr>
                  <w:tcW w:w="531" w:type="dxa"/>
                  <w:tcBorders>
                    <w:right w:val="single" w:color="auto" w:sz="4" w:space="0"/>
                  </w:tcBorders>
                  <w:noWrap w:val="0"/>
                  <w:vAlign w:val="center"/>
                </w:tcPr>
                <w:p>
                  <w:pPr>
                    <w:spacing w:line="0" w:lineRule="atLeast"/>
                    <w:jc w:val="center"/>
                    <w:rPr>
                      <w:rFonts w:hint="default" w:ascii="Times New Roman" w:hAnsi="Times New Roman" w:cs="Times New Roman"/>
                      <w:color w:val="auto"/>
                      <w:kern w:val="2"/>
                      <w:sz w:val="21"/>
                      <w:szCs w:val="21"/>
                      <w:highlight w:val="none"/>
                      <w:lang w:val="en-US" w:eastAsia="zh-CN" w:bidi="ar-SA"/>
                    </w:rPr>
                  </w:pPr>
                  <w:r>
                    <w:rPr>
                      <w:color w:val="auto"/>
                      <w:sz w:val="21"/>
                      <w:szCs w:val="21"/>
                      <w:highlight w:val="none"/>
                    </w:rPr>
                    <w:t>正常工况</w:t>
                  </w:r>
                </w:p>
              </w:tc>
              <w:tc>
                <w:tcPr>
                  <w:tcW w:w="821" w:type="dxa"/>
                  <w:tcBorders>
                    <w:lef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2"/>
                      <w:szCs w:val="22"/>
                      <w:highlight w:val="none"/>
                      <w:u w:val="none"/>
                      <w:lang w:val="en-US" w:eastAsia="zh-CN" w:bidi="ar"/>
                    </w:rPr>
                  </w:pPr>
                  <w:r>
                    <w:rPr>
                      <w:rFonts w:hint="eastAsia" w:cs="Times New Roman"/>
                      <w:i w:val="0"/>
                      <w:color w:val="auto"/>
                      <w:kern w:val="0"/>
                      <w:sz w:val="22"/>
                      <w:szCs w:val="22"/>
                      <w:highlight w:val="none"/>
                      <w:u w:val="none"/>
                      <w:lang w:val="en-US" w:eastAsia="zh-CN" w:bidi="ar"/>
                    </w:rPr>
                    <w:t>0.0112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91" w:hRule="atLeast"/>
                <w:jc w:val="center"/>
              </w:trPr>
              <w:tc>
                <w:tcPr>
                  <w:tcW w:w="362" w:type="dxa"/>
                  <w:noWrap w:val="0"/>
                  <w:tcMar>
                    <w:left w:w="28" w:type="dxa"/>
                    <w:right w:w="28" w:type="dxa"/>
                  </w:tcMar>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2</w:t>
                  </w:r>
                </w:p>
              </w:tc>
              <w:tc>
                <w:tcPr>
                  <w:tcW w:w="639" w:type="dxa"/>
                  <w:tcBorders>
                    <w:right w:val="single" w:color="auto" w:sz="4" w:space="0"/>
                  </w:tcBorders>
                  <w:noWrap w:val="0"/>
                  <w:vAlign w:val="center"/>
                </w:tcPr>
                <w:p>
                  <w:pPr>
                    <w:spacing w:line="0" w:lineRule="atLeast"/>
                    <w:jc w:val="center"/>
                    <w:rPr>
                      <w:rFonts w:hint="eastAsia"/>
                      <w:color w:val="auto"/>
                      <w:sz w:val="21"/>
                      <w:szCs w:val="21"/>
                      <w:highlight w:val="none"/>
                      <w:lang w:val="en-US" w:eastAsia="zh-CN"/>
                    </w:rPr>
                  </w:pPr>
                  <w:r>
                    <w:rPr>
                      <w:rFonts w:hint="eastAsia"/>
                      <w:color w:val="auto"/>
                      <w:sz w:val="21"/>
                      <w:szCs w:val="21"/>
                      <w:highlight w:val="none"/>
                      <w:lang w:val="en-US" w:eastAsia="zh-CN"/>
                    </w:rPr>
                    <w:t>2#排气筒</w:t>
                  </w:r>
                </w:p>
              </w:tc>
              <w:tc>
                <w:tcPr>
                  <w:tcW w:w="1111" w:type="dxa"/>
                  <w:tcBorders>
                    <w:right w:val="single" w:color="auto" w:sz="4" w:space="0"/>
                  </w:tcBorders>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kern w:val="2"/>
                      <w:sz w:val="21"/>
                      <w:szCs w:val="21"/>
                      <w:highlight w:val="none"/>
                      <w:lang w:val="en-US" w:eastAsia="zh-CN" w:bidi="ar-SA"/>
                    </w:rPr>
                    <w:t>118°36′11.49″</w:t>
                  </w:r>
                </w:p>
              </w:tc>
              <w:tc>
                <w:tcPr>
                  <w:tcW w:w="1132" w:type="dxa"/>
                  <w:tcBorders>
                    <w:right w:val="single" w:color="auto" w:sz="4" w:space="0"/>
                  </w:tcBorders>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kern w:val="2"/>
                      <w:sz w:val="21"/>
                      <w:szCs w:val="21"/>
                      <w:highlight w:val="none"/>
                      <w:lang w:val="en-US" w:eastAsia="zh-CN" w:bidi="ar-SA"/>
                    </w:rPr>
                    <w:t>39°58′56.61″</w:t>
                  </w:r>
                </w:p>
              </w:tc>
              <w:tc>
                <w:tcPr>
                  <w:tcW w:w="1036" w:type="dxa"/>
                  <w:tcBorders>
                    <w:right w:val="single" w:color="auto" w:sz="4" w:space="0"/>
                  </w:tcBorders>
                  <w:noWrap w:val="0"/>
                  <w:vAlign w:val="center"/>
                </w:tcPr>
                <w:p>
                  <w:pPr>
                    <w:spacing w:line="0" w:lineRule="atLeast"/>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83.6</w:t>
                  </w:r>
                </w:p>
              </w:tc>
              <w:tc>
                <w:tcPr>
                  <w:tcW w:w="586" w:type="dxa"/>
                  <w:tcBorders>
                    <w:right w:val="single" w:color="auto" w:sz="4" w:space="0"/>
                  </w:tcBorders>
                  <w:noWrap w:val="0"/>
                  <w:vAlign w:val="center"/>
                </w:tcPr>
                <w:p>
                  <w:pPr>
                    <w:spacing w:line="0" w:lineRule="atLeast"/>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771" w:type="dxa"/>
                  <w:tcBorders>
                    <w:right w:val="single" w:color="auto" w:sz="4" w:space="0"/>
                  </w:tcBorders>
                  <w:noWrap w:val="0"/>
                  <w:vAlign w:val="center"/>
                </w:tcPr>
                <w:p>
                  <w:pPr>
                    <w:spacing w:line="0" w:lineRule="atLeast"/>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w:t>
                  </w:r>
                </w:p>
              </w:tc>
              <w:tc>
                <w:tcPr>
                  <w:tcW w:w="752" w:type="dxa"/>
                  <w:noWrap w:val="0"/>
                  <w:vAlign w:val="center"/>
                </w:tcPr>
                <w:p>
                  <w:pPr>
                    <w:spacing w:line="0" w:lineRule="atLeast"/>
                    <w:jc w:val="center"/>
                    <w:rPr>
                      <w:rFonts w:hint="default"/>
                      <w:color w:val="auto"/>
                      <w:highlight w:val="none"/>
                      <w:lang w:val="en-US" w:eastAsia="zh-CN"/>
                    </w:rPr>
                  </w:pPr>
                  <w:r>
                    <w:rPr>
                      <w:rFonts w:hint="eastAsia"/>
                      <w:color w:val="auto"/>
                      <w:highlight w:val="none"/>
                      <w:lang w:val="en-US" w:eastAsia="zh-CN"/>
                    </w:rPr>
                    <w:t>11.795</w:t>
                  </w:r>
                </w:p>
              </w:tc>
              <w:tc>
                <w:tcPr>
                  <w:tcW w:w="521" w:type="dxa"/>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30</w:t>
                  </w:r>
                </w:p>
              </w:tc>
              <w:tc>
                <w:tcPr>
                  <w:tcW w:w="525" w:type="dxa"/>
                  <w:tcBorders>
                    <w:right w:val="single" w:color="auto" w:sz="4" w:space="0"/>
                  </w:tcBorders>
                  <w:noWrap w:val="0"/>
                  <w:vAlign w:val="center"/>
                </w:tcPr>
                <w:p>
                  <w:pPr>
                    <w:spacing w:line="0" w:lineRule="atLeas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200</w:t>
                  </w:r>
                </w:p>
              </w:tc>
              <w:tc>
                <w:tcPr>
                  <w:tcW w:w="531" w:type="dxa"/>
                  <w:tcBorders>
                    <w:right w:val="single" w:color="auto" w:sz="4" w:space="0"/>
                  </w:tcBorders>
                  <w:noWrap w:val="0"/>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color w:val="auto"/>
                      <w:sz w:val="21"/>
                      <w:szCs w:val="21"/>
                      <w:highlight w:val="none"/>
                    </w:rPr>
                    <w:t>正常工况</w:t>
                  </w:r>
                </w:p>
              </w:tc>
              <w:tc>
                <w:tcPr>
                  <w:tcW w:w="821" w:type="dxa"/>
                  <w:tcBorders>
                    <w:lef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2"/>
                      <w:szCs w:val="22"/>
                      <w:highlight w:val="none"/>
                      <w:u w:val="none"/>
                      <w:lang w:val="en-US" w:eastAsia="zh-CN" w:bidi="ar"/>
                    </w:rPr>
                  </w:pPr>
                  <w:r>
                    <w:rPr>
                      <w:rFonts w:hint="eastAsia" w:cs="Times New Roman"/>
                      <w:i w:val="0"/>
                      <w:color w:val="auto"/>
                      <w:kern w:val="0"/>
                      <w:sz w:val="22"/>
                      <w:szCs w:val="22"/>
                      <w:highlight w:val="none"/>
                      <w:u w:val="none"/>
                      <w:lang w:val="en-US" w:eastAsia="zh-CN" w:bidi="ar"/>
                    </w:rPr>
                    <w:t>0.0045</w:t>
                  </w:r>
                </w:p>
              </w:tc>
            </w:tr>
          </w:tbl>
          <w:p>
            <w:pPr>
              <w:autoSpaceDE w:val="0"/>
              <w:autoSpaceDN w:val="0"/>
              <w:ind w:firstLine="420" w:firstLineChars="200"/>
              <w:jc w:val="left"/>
              <w:rPr>
                <w:color w:val="auto"/>
                <w:szCs w:val="21"/>
                <w:highlight w:val="none"/>
              </w:rPr>
            </w:pPr>
            <w:r>
              <w:rPr>
                <w:color w:val="auto"/>
                <w:szCs w:val="21"/>
                <w:highlight w:val="none"/>
              </w:rPr>
              <w:t>注：厂区西</w:t>
            </w:r>
            <w:r>
              <w:rPr>
                <w:rFonts w:hint="eastAsia"/>
                <w:color w:val="auto"/>
                <w:szCs w:val="21"/>
                <w:highlight w:val="none"/>
                <w:lang w:eastAsia="zh-CN"/>
              </w:rPr>
              <w:t>北</w:t>
            </w:r>
            <w:r>
              <w:rPr>
                <w:color w:val="auto"/>
                <w:szCs w:val="21"/>
                <w:highlight w:val="none"/>
              </w:rPr>
              <w:t>角为（0.0）点。</w:t>
            </w:r>
          </w:p>
          <w:p>
            <w:pPr>
              <w:spacing w:line="480" w:lineRule="exact"/>
              <w:ind w:firstLine="480" w:firstLineChars="200"/>
              <w:jc w:val="left"/>
              <w:rPr>
                <w:color w:val="auto"/>
                <w:sz w:val="24"/>
                <w:highlight w:val="none"/>
              </w:rPr>
            </w:pPr>
            <w:r>
              <w:rPr>
                <w:color w:val="auto"/>
                <w:sz w:val="24"/>
                <w:highlight w:val="none"/>
              </w:rPr>
              <w:t>②评价因子和评价标准</w:t>
            </w:r>
          </w:p>
          <w:p>
            <w:pPr>
              <w:pStyle w:val="4"/>
              <w:spacing w:before="0" w:line="480" w:lineRule="exact"/>
              <w:jc w:val="center"/>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w:t>
            </w:r>
            <w:r>
              <w:rPr>
                <w:rFonts w:hint="eastAsia" w:ascii="Times New Roman" w:hAnsi="Times New Roman" w:eastAsia="宋体" w:cs="Times New Roman"/>
                <w:b/>
                <w:bCs/>
                <w:color w:val="auto"/>
                <w:kern w:val="2"/>
                <w:sz w:val="24"/>
                <w:szCs w:val="24"/>
                <w:highlight w:val="none"/>
                <w:lang w:val="en-US" w:eastAsia="zh-CN" w:bidi="ar-SA"/>
              </w:rPr>
              <w:t>2</w:t>
            </w:r>
            <w:r>
              <w:rPr>
                <w:rFonts w:hint="eastAsia" w:ascii="Times New Roman" w:hAnsi="Times New Roman" w:cs="Times New Roman"/>
                <w:b/>
                <w:bCs/>
                <w:color w:val="auto"/>
                <w:kern w:val="2"/>
                <w:sz w:val="24"/>
                <w:szCs w:val="24"/>
                <w:highlight w:val="none"/>
                <w:lang w:val="en-US" w:eastAsia="zh-CN" w:bidi="ar-SA"/>
              </w:rPr>
              <w:t>0</w:t>
            </w:r>
            <w:r>
              <w:rPr>
                <w:rFonts w:hint="eastAsia" w:ascii="Times New Roman" w:hAnsi="Times New Roman" w:eastAsia="宋体" w:cs="Times New Roman"/>
                <w:b/>
                <w:bCs/>
                <w:color w:val="auto"/>
                <w:kern w:val="2"/>
                <w:sz w:val="24"/>
                <w:szCs w:val="24"/>
                <w:highlight w:val="none"/>
                <w:lang w:val="en-US" w:eastAsia="zh-CN" w:bidi="ar-SA"/>
              </w:rPr>
              <w:t xml:space="preserve"> </w:t>
            </w:r>
            <w:r>
              <w:rPr>
                <w:rFonts w:hint="default" w:ascii="Times New Roman" w:hAnsi="Times New Roman" w:eastAsia="宋体" w:cs="Times New Roman"/>
                <w:b/>
                <w:bCs/>
                <w:color w:val="auto"/>
                <w:kern w:val="2"/>
                <w:sz w:val="24"/>
                <w:szCs w:val="24"/>
                <w:highlight w:val="none"/>
                <w:lang w:val="en-US" w:eastAsia="zh-CN" w:bidi="ar-SA"/>
              </w:rPr>
              <w:t xml:space="preserve"> 评价因子和评价标准一览表</w:t>
            </w:r>
          </w:p>
          <w:tbl>
            <w:tblPr>
              <w:tblStyle w:val="31"/>
              <w:tblW w:w="87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22"/>
              <w:gridCol w:w="1558"/>
              <w:gridCol w:w="53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9" w:hRule="atLeast"/>
                <w:tblHeader/>
                <w:jc w:val="center"/>
              </w:trPr>
              <w:tc>
                <w:tcPr>
                  <w:tcW w:w="1922" w:type="dxa"/>
                  <w:noWrap w:val="0"/>
                  <w:tcMar>
                    <w:left w:w="28" w:type="dxa"/>
                    <w:right w:w="28" w:type="dxa"/>
                  </w:tcMar>
                  <w:vAlign w:val="center"/>
                </w:tcPr>
                <w:p>
                  <w:pPr>
                    <w:adjustRightInd w:val="0"/>
                    <w:snapToGrid w:val="0"/>
                    <w:spacing w:line="0" w:lineRule="atLeast"/>
                    <w:jc w:val="center"/>
                    <w:rPr>
                      <w:color w:val="auto"/>
                      <w:szCs w:val="21"/>
                      <w:highlight w:val="none"/>
                    </w:rPr>
                  </w:pPr>
                  <w:r>
                    <w:rPr>
                      <w:color w:val="auto"/>
                      <w:szCs w:val="21"/>
                      <w:highlight w:val="none"/>
                    </w:rPr>
                    <w:t>评价因子</w:t>
                  </w:r>
                </w:p>
              </w:tc>
              <w:tc>
                <w:tcPr>
                  <w:tcW w:w="1558" w:type="dxa"/>
                  <w:tcBorders>
                    <w:bottom w:val="single" w:color="auto" w:sz="4" w:space="0"/>
                  </w:tcBorders>
                  <w:noWrap w:val="0"/>
                  <w:tcMar>
                    <w:left w:w="28" w:type="dxa"/>
                    <w:right w:w="28" w:type="dxa"/>
                  </w:tcMar>
                  <w:vAlign w:val="center"/>
                </w:tcPr>
                <w:p>
                  <w:pPr>
                    <w:adjustRightInd w:val="0"/>
                    <w:snapToGrid w:val="0"/>
                    <w:spacing w:line="0" w:lineRule="atLeast"/>
                    <w:jc w:val="center"/>
                    <w:rPr>
                      <w:color w:val="auto"/>
                      <w:szCs w:val="21"/>
                      <w:highlight w:val="none"/>
                    </w:rPr>
                  </w:pPr>
                  <w:r>
                    <w:rPr>
                      <w:color w:val="auto"/>
                      <w:szCs w:val="21"/>
                      <w:highlight w:val="none"/>
                    </w:rPr>
                    <w:t>标准值（µg/m</w:t>
                  </w:r>
                  <w:r>
                    <w:rPr>
                      <w:color w:val="auto"/>
                      <w:szCs w:val="21"/>
                      <w:highlight w:val="none"/>
                      <w:vertAlign w:val="superscript"/>
                    </w:rPr>
                    <w:t>3</w:t>
                  </w:r>
                  <w:r>
                    <w:rPr>
                      <w:color w:val="auto"/>
                      <w:szCs w:val="21"/>
                      <w:highlight w:val="none"/>
                    </w:rPr>
                    <w:t>）</w:t>
                  </w:r>
                </w:p>
              </w:tc>
              <w:tc>
                <w:tcPr>
                  <w:tcW w:w="5307" w:type="dxa"/>
                  <w:tcBorders>
                    <w:bottom w:val="single" w:color="auto" w:sz="4" w:space="0"/>
                  </w:tcBorders>
                  <w:noWrap w:val="0"/>
                  <w:tcMar>
                    <w:left w:w="28" w:type="dxa"/>
                    <w:right w:w="28" w:type="dxa"/>
                  </w:tcMar>
                  <w:vAlign w:val="center"/>
                </w:tcPr>
                <w:p>
                  <w:pPr>
                    <w:adjustRightInd w:val="0"/>
                    <w:snapToGrid w:val="0"/>
                    <w:spacing w:line="0" w:lineRule="atLeast"/>
                    <w:jc w:val="center"/>
                    <w:rPr>
                      <w:color w:val="auto"/>
                      <w:szCs w:val="21"/>
                      <w:highlight w:val="none"/>
                    </w:rPr>
                  </w:pPr>
                  <w:r>
                    <w:rPr>
                      <w:color w:val="auto"/>
                      <w:szCs w:val="21"/>
                      <w:highlight w:val="none"/>
                    </w:rPr>
                    <w:t>标准来源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9" w:hRule="atLeast"/>
                <w:jc w:val="center"/>
              </w:trPr>
              <w:tc>
                <w:tcPr>
                  <w:tcW w:w="1922" w:type="dxa"/>
                  <w:noWrap w:val="0"/>
                  <w:tcMar>
                    <w:left w:w="28" w:type="dxa"/>
                    <w:right w:w="28" w:type="dxa"/>
                  </w:tcMar>
                  <w:vAlign w:val="center"/>
                </w:tcPr>
                <w:p>
                  <w:pPr>
                    <w:adjustRightInd w:val="0"/>
                    <w:snapToGrid w:val="0"/>
                    <w:jc w:val="center"/>
                    <w:rPr>
                      <w:rFonts w:hint="eastAsia"/>
                      <w:color w:val="auto"/>
                      <w:kern w:val="2"/>
                      <w:sz w:val="21"/>
                      <w:szCs w:val="21"/>
                      <w:highlight w:val="none"/>
                      <w:lang w:val="en-US" w:eastAsia="zh-CN" w:bidi="ar-SA"/>
                    </w:rPr>
                  </w:pPr>
                  <w:r>
                    <w:rPr>
                      <w:rFonts w:hint="eastAsia"/>
                      <w:snapToGrid w:val="0"/>
                      <w:color w:val="auto"/>
                      <w:kern w:val="0"/>
                      <w:szCs w:val="21"/>
                      <w:highlight w:val="none"/>
                    </w:rPr>
                    <w:t>PM</w:t>
                  </w:r>
                  <w:r>
                    <w:rPr>
                      <w:rFonts w:hint="eastAsia"/>
                      <w:snapToGrid w:val="0"/>
                      <w:color w:val="auto"/>
                      <w:kern w:val="0"/>
                      <w:szCs w:val="21"/>
                      <w:highlight w:val="none"/>
                      <w:vertAlign w:val="subscript"/>
                    </w:rPr>
                    <w:t>10</w:t>
                  </w:r>
                </w:p>
              </w:tc>
              <w:tc>
                <w:tcPr>
                  <w:tcW w:w="1558" w:type="dxa"/>
                  <w:noWrap w:val="0"/>
                  <w:tcMar>
                    <w:left w:w="28" w:type="dxa"/>
                    <w:right w:w="28" w:type="dxa"/>
                  </w:tcMar>
                  <w:vAlign w:val="center"/>
                </w:tcPr>
                <w:p>
                  <w:pPr>
                    <w:adjustRightInd w:val="0"/>
                    <w:snapToGrid w:val="0"/>
                    <w:jc w:val="center"/>
                    <w:rPr>
                      <w:rFonts w:hint="default" w:eastAsia="宋体"/>
                      <w:color w:val="auto"/>
                      <w:kern w:val="2"/>
                      <w:sz w:val="21"/>
                      <w:szCs w:val="21"/>
                      <w:highlight w:val="none"/>
                      <w:lang w:val="en-US" w:eastAsia="zh-CN" w:bidi="ar-SA"/>
                    </w:rPr>
                  </w:pPr>
                  <w:r>
                    <w:rPr>
                      <w:rFonts w:hint="eastAsia"/>
                      <w:snapToGrid w:val="0"/>
                      <w:color w:val="auto"/>
                      <w:kern w:val="0"/>
                      <w:szCs w:val="21"/>
                      <w:highlight w:val="none"/>
                      <w:lang w:val="en-US" w:eastAsia="zh-CN"/>
                    </w:rPr>
                    <w:t>450</w:t>
                  </w:r>
                </w:p>
              </w:tc>
              <w:tc>
                <w:tcPr>
                  <w:tcW w:w="5307" w:type="dxa"/>
                  <w:vMerge w:val="restart"/>
                  <w:noWrap w:val="0"/>
                  <w:tcMar>
                    <w:left w:w="28" w:type="dxa"/>
                    <w:right w:w="28" w:type="dxa"/>
                  </w:tcMar>
                  <w:vAlign w:val="center"/>
                </w:tcPr>
                <w:p>
                  <w:pPr>
                    <w:pStyle w:val="50"/>
                    <w:spacing w:line="0" w:lineRule="atLeast"/>
                    <w:jc w:val="center"/>
                    <w:rPr>
                      <w:rFonts w:hint="default"/>
                      <w:color w:val="auto"/>
                      <w:spacing w:val="6"/>
                      <w:kern w:val="2"/>
                      <w:sz w:val="21"/>
                      <w:szCs w:val="21"/>
                      <w:highlight w:val="none"/>
                      <w:lang w:val="en-US" w:eastAsia="zh-CN" w:bidi="ar-SA"/>
                    </w:rPr>
                  </w:pPr>
                  <w:r>
                    <w:rPr>
                      <w:snapToGrid w:val="0"/>
                      <w:color w:val="auto"/>
                      <w:szCs w:val="21"/>
                      <w:highlight w:val="none"/>
                    </w:rPr>
                    <w:t>《环境空气质量标准》</w:t>
                  </w:r>
                  <w:r>
                    <w:rPr>
                      <w:rFonts w:hint="eastAsia"/>
                      <w:snapToGrid w:val="0"/>
                      <w:color w:val="auto"/>
                      <w:szCs w:val="21"/>
                      <w:highlight w:val="none"/>
                      <w:lang w:eastAsia="zh-CN"/>
                    </w:rPr>
                    <w:t>（</w:t>
                  </w:r>
                  <w:r>
                    <w:rPr>
                      <w:snapToGrid w:val="0"/>
                      <w:color w:val="auto"/>
                      <w:szCs w:val="21"/>
                      <w:highlight w:val="none"/>
                    </w:rPr>
                    <w:t>GB3095-2012</w:t>
                  </w:r>
                  <w:r>
                    <w:rPr>
                      <w:rFonts w:hint="eastAsia"/>
                      <w:snapToGrid w:val="0"/>
                      <w:color w:val="auto"/>
                      <w:szCs w:val="21"/>
                      <w:highlight w:val="none"/>
                      <w:lang w:eastAsia="zh-CN"/>
                    </w:rPr>
                    <w:t>）</w:t>
                  </w:r>
                  <w:r>
                    <w:rPr>
                      <w:snapToGrid w:val="0"/>
                      <w:color w:val="auto"/>
                      <w:szCs w:val="21"/>
                      <w:highlight w:val="none"/>
                    </w:rPr>
                    <w:t>二级标准的日均浓度限值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922" w:type="dxa"/>
                  <w:noWrap w:val="0"/>
                  <w:tcMar>
                    <w:left w:w="28" w:type="dxa"/>
                    <w:right w:w="28" w:type="dxa"/>
                  </w:tcMar>
                  <w:vAlign w:val="center"/>
                </w:tcPr>
                <w:p>
                  <w:pPr>
                    <w:adjustRightInd w:val="0"/>
                    <w:snapToGrid w:val="0"/>
                    <w:spacing w:line="0" w:lineRule="atLeast"/>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TSP</w:t>
                  </w:r>
                </w:p>
              </w:tc>
              <w:tc>
                <w:tcPr>
                  <w:tcW w:w="1558" w:type="dxa"/>
                  <w:noWrap w:val="0"/>
                  <w:tcMar>
                    <w:left w:w="28" w:type="dxa"/>
                    <w:right w:w="28" w:type="dxa"/>
                  </w:tcMar>
                  <w:vAlign w:val="center"/>
                </w:tcPr>
                <w:p>
                  <w:pPr>
                    <w:adjustRightInd w:val="0"/>
                    <w:snapToGrid w:val="0"/>
                    <w:spacing w:line="0" w:lineRule="atLeast"/>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900</w:t>
                  </w:r>
                </w:p>
              </w:tc>
              <w:tc>
                <w:tcPr>
                  <w:tcW w:w="5307" w:type="dxa"/>
                  <w:vMerge w:val="continue"/>
                  <w:noWrap w:val="0"/>
                  <w:tcMar>
                    <w:left w:w="28" w:type="dxa"/>
                    <w:right w:w="28" w:type="dxa"/>
                  </w:tcMar>
                  <w:vAlign w:val="center"/>
                </w:tcPr>
                <w:p>
                  <w:pPr>
                    <w:adjustRightInd w:val="0"/>
                    <w:snapToGrid w:val="0"/>
                    <w:spacing w:line="0" w:lineRule="atLeast"/>
                    <w:jc w:val="center"/>
                    <w:rPr>
                      <w:rFonts w:hint="default" w:ascii="Times New Roman" w:hAnsi="Times New Roman" w:cs="Times New Roman"/>
                      <w:color w:val="auto"/>
                      <w:kern w:val="2"/>
                      <w:sz w:val="21"/>
                      <w:szCs w:val="21"/>
                      <w:highlight w:val="none"/>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color w:val="auto"/>
                <w:sz w:val="24"/>
                <w:highlight w:val="none"/>
              </w:rPr>
            </w:pPr>
            <w:r>
              <w:rPr>
                <w:color w:val="auto"/>
                <w:sz w:val="24"/>
                <w:highlight w:val="none"/>
                <w:lang w:val="zh-CN"/>
              </w:rPr>
              <w:t>③</w:t>
            </w:r>
            <w:r>
              <w:rPr>
                <w:color w:val="auto"/>
                <w:sz w:val="24"/>
                <w:highlight w:val="none"/>
              </w:rPr>
              <w:t>估算模型参数</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b/>
                <w:color w:val="auto"/>
                <w:sz w:val="24"/>
                <w:highlight w:val="none"/>
              </w:rPr>
            </w:pPr>
            <w:r>
              <w:rPr>
                <w:color w:val="auto"/>
                <w:sz w:val="24"/>
                <w:highlight w:val="none"/>
              </w:rPr>
              <w:t>估算模型参数表见下表：</w:t>
            </w:r>
          </w:p>
          <w:p>
            <w:pPr>
              <w:spacing w:line="440" w:lineRule="exact"/>
              <w:jc w:val="center"/>
              <w:rPr>
                <w:b/>
                <w:color w:val="auto"/>
                <w:sz w:val="24"/>
                <w:highlight w:val="none"/>
              </w:rPr>
            </w:pPr>
            <w:r>
              <w:rPr>
                <w:b/>
                <w:color w:val="auto"/>
                <w:sz w:val="24"/>
                <w:highlight w:val="none"/>
              </w:rPr>
              <w:t>表</w:t>
            </w:r>
            <w:r>
              <w:rPr>
                <w:rFonts w:hint="eastAsia"/>
                <w:b/>
                <w:color w:val="auto"/>
                <w:sz w:val="24"/>
                <w:highlight w:val="none"/>
                <w:lang w:val="en-US" w:eastAsia="zh-CN"/>
              </w:rPr>
              <w:t>21</w:t>
            </w:r>
            <w:r>
              <w:rPr>
                <w:rFonts w:hint="eastAsia"/>
                <w:b/>
                <w:color w:val="auto"/>
                <w:sz w:val="24"/>
                <w:highlight w:val="none"/>
              </w:rPr>
              <w:t xml:space="preserve">    </w:t>
            </w:r>
            <w:r>
              <w:rPr>
                <w:b/>
                <w:color w:val="auto"/>
                <w:sz w:val="24"/>
                <w:highlight w:val="none"/>
              </w:rPr>
              <w:t>估算模型参数一览表</w:t>
            </w:r>
          </w:p>
          <w:tbl>
            <w:tblPr>
              <w:tblStyle w:val="32"/>
              <w:tblW w:w="4999"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039"/>
              <w:gridCol w:w="3056"/>
              <w:gridCol w:w="30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329" w:type="pct"/>
                  <w:gridSpan w:val="2"/>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参数</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取值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60"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城市/农村选项</w:t>
                  </w:r>
                </w:p>
              </w:tc>
              <w:tc>
                <w:tcPr>
                  <w:tcW w:w="1669"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城市/农村</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eastAsia" w:ascii="Times New Roman" w:hAnsi="Times New Roman" w:eastAsia="宋体" w:cs="Times New Roman"/>
                      <w:color w:val="auto"/>
                      <w:w w:val="100"/>
                      <w:kern w:val="2"/>
                      <w:sz w:val="21"/>
                      <w:szCs w:val="21"/>
                      <w:highlight w:val="none"/>
                      <w:lang w:eastAsia="zh-CN"/>
                    </w:rPr>
                  </w:pPr>
                  <w:r>
                    <w:rPr>
                      <w:rFonts w:hint="eastAsia" w:ascii="Times New Roman" w:hAnsi="Times New Roman" w:cs="Times New Roman"/>
                      <w:color w:val="auto"/>
                      <w:w w:val="100"/>
                      <w:kern w:val="2"/>
                      <w:sz w:val="21"/>
                      <w:szCs w:val="21"/>
                      <w:highlight w:val="none"/>
                      <w:lang w:eastAsia="zh-CN"/>
                    </w:rPr>
                    <w:t>农村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60"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p>
              </w:tc>
              <w:tc>
                <w:tcPr>
                  <w:tcW w:w="1669"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人口数（城市选项时）</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eastAsia" w:ascii="Times New Roman" w:hAnsi="Times New Roman" w:eastAsia="宋体" w:cs="Times New Roman"/>
                      <w:color w:val="auto"/>
                      <w:w w:val="100"/>
                      <w:kern w:val="2"/>
                      <w:sz w:val="21"/>
                      <w:szCs w:val="21"/>
                      <w:highlight w:val="none"/>
                      <w:lang w:eastAsia="zh-CN"/>
                    </w:rPr>
                  </w:pPr>
                  <w:r>
                    <w:rPr>
                      <w:rFonts w:hint="eastAsia" w:ascii="Times New Roman" w:hAnsi="Times New Roman" w:cs="Times New Roman"/>
                      <w:color w:val="auto"/>
                      <w:w w:val="100"/>
                      <w:kern w:val="2"/>
                      <w:sz w:val="21"/>
                      <w:szCs w:val="21"/>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329" w:type="pct"/>
                  <w:gridSpan w:val="2"/>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最高环境温度/℃</w:t>
                  </w:r>
                </w:p>
              </w:tc>
              <w:tc>
                <w:tcPr>
                  <w:tcW w:w="3058" w:type="dxa"/>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lang w:val="en-US" w:eastAsia="zh-CN"/>
                    </w:rPr>
                  </w:pPr>
                  <w:r>
                    <w:rPr>
                      <w:rFonts w:hint="eastAsia" w:ascii="Times New Roman" w:hAnsi="Times New Roman" w:cs="Times New Roman"/>
                      <w:color w:val="auto"/>
                      <w:w w:val="100"/>
                      <w:kern w:val="2"/>
                      <w:sz w:val="21"/>
                      <w:szCs w:val="21"/>
                      <w:highlight w:val="none"/>
                      <w:lang w:eastAsia="zh-CN"/>
                    </w:rPr>
                    <w:t>40.2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329" w:type="pct"/>
                  <w:gridSpan w:val="2"/>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最低环境温度/℃</w:t>
                  </w:r>
                </w:p>
              </w:tc>
              <w:tc>
                <w:tcPr>
                  <w:tcW w:w="3058" w:type="dxa"/>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eastAsia" w:ascii="Times New Roman" w:hAnsi="Times New Roman" w:cs="Times New Roman"/>
                      <w:color w:val="auto"/>
                      <w:w w:val="100"/>
                      <w:kern w:val="2"/>
                      <w:sz w:val="21"/>
                      <w:szCs w:val="21"/>
                      <w:highlight w:val="none"/>
                      <w:lang w:eastAsia="zh-CN"/>
                    </w:rPr>
                  </w:pPr>
                  <w:r>
                    <w:rPr>
                      <w:rFonts w:hint="eastAsia" w:ascii="Times New Roman" w:hAnsi="Times New Roman" w:cs="Times New Roman"/>
                      <w:color w:val="auto"/>
                      <w:w w:val="100"/>
                      <w:kern w:val="2"/>
                      <w:sz w:val="21"/>
                      <w:szCs w:val="21"/>
                      <w:highlight w:val="none"/>
                      <w:lang w:eastAsia="zh-CN"/>
                    </w:rPr>
                    <w:t>-23.6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329" w:type="pct"/>
                  <w:gridSpan w:val="2"/>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土地利用类型</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eastAsia" w:ascii="Times New Roman" w:hAnsi="Times New Roman" w:eastAsia="宋体" w:cs="Times New Roman"/>
                      <w:color w:val="auto"/>
                      <w:w w:val="100"/>
                      <w:kern w:val="2"/>
                      <w:sz w:val="21"/>
                      <w:szCs w:val="21"/>
                      <w:highlight w:val="none"/>
                      <w:lang w:eastAsia="zh-CN"/>
                    </w:rPr>
                  </w:pPr>
                  <w:r>
                    <w:rPr>
                      <w:rFonts w:hint="eastAsia" w:ascii="Times New Roman" w:hAnsi="Times New Roman" w:cs="Times New Roman"/>
                      <w:color w:val="auto"/>
                      <w:w w:val="100"/>
                      <w:kern w:val="2"/>
                      <w:sz w:val="21"/>
                      <w:szCs w:val="21"/>
                      <w:highlight w:val="none"/>
                      <w:lang w:eastAsia="zh-CN"/>
                    </w:rPr>
                    <w:t>农作地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329" w:type="pct"/>
                  <w:gridSpan w:val="2"/>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区域湿度条件</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中等湿度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60"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是否考虑地形</w:t>
                  </w:r>
                </w:p>
              </w:tc>
              <w:tc>
                <w:tcPr>
                  <w:tcW w:w="1669"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考虑地形</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sz w:val="18"/>
                      <w:szCs w:val="18"/>
                      <w:highlight w:val="none"/>
                      <w:shd w:val="clear" w:color="auto" w:fill="auto"/>
                    </w:rPr>
                    <w:t>□</w:t>
                  </w:r>
                  <w:r>
                    <w:rPr>
                      <w:rFonts w:hint="default" w:ascii="Times New Roman" w:hAnsi="Times New Roman" w:cs="Times New Roman"/>
                      <w:color w:val="auto"/>
                      <w:w w:val="100"/>
                      <w:kern w:val="2"/>
                      <w:sz w:val="21"/>
                      <w:szCs w:val="21"/>
                      <w:highlight w:val="none"/>
                    </w:rPr>
                    <w:t>是  　</w:t>
                  </w:r>
                  <w:r>
                    <w:rPr>
                      <w:rFonts w:hint="eastAsia" w:ascii="Times New Roman" w:hAnsi="Times New Roman" w:cs="Times New Roman"/>
                      <w:color w:val="auto"/>
                      <w:w w:val="100"/>
                      <w:sz w:val="18"/>
                      <w:szCs w:val="18"/>
                      <w:highlight w:val="none"/>
                      <w:shd w:val="clear" w:color="auto" w:fill="auto"/>
                      <w:lang w:eastAsia="zh-CN"/>
                    </w:rPr>
                    <w:t>☑</w:t>
                  </w:r>
                  <w:r>
                    <w:rPr>
                      <w:rFonts w:hint="default" w:ascii="Times New Roman" w:hAnsi="Times New Roman" w:cs="Times New Roman"/>
                      <w:color w:val="auto"/>
                      <w:w w:val="100"/>
                      <w:kern w:val="2"/>
                      <w:sz w:val="21"/>
                      <w:szCs w:val="21"/>
                      <w:highlight w:val="none"/>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60"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p>
              </w:tc>
              <w:tc>
                <w:tcPr>
                  <w:tcW w:w="1669"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地形数据分辨率/m</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90m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60"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是否考虑岸线熏烟</w:t>
                  </w:r>
                </w:p>
              </w:tc>
              <w:tc>
                <w:tcPr>
                  <w:tcW w:w="1669"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考虑岸线熏烟</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sz w:val="18"/>
                      <w:szCs w:val="18"/>
                      <w:highlight w:val="none"/>
                      <w:shd w:val="clear" w:color="auto" w:fill="auto"/>
                    </w:rPr>
                    <w:t>□</w:t>
                  </w:r>
                  <w:r>
                    <w:rPr>
                      <w:rFonts w:hint="default" w:ascii="Times New Roman" w:hAnsi="Times New Roman" w:cs="Times New Roman"/>
                      <w:color w:val="auto"/>
                      <w:w w:val="100"/>
                      <w:kern w:val="2"/>
                      <w:sz w:val="21"/>
                      <w:szCs w:val="21"/>
                      <w:highlight w:val="none"/>
                    </w:rPr>
                    <w:t>是  　</w:t>
                  </w:r>
                  <w:r>
                    <w:rPr>
                      <w:rFonts w:hint="eastAsia" w:ascii="Times New Roman" w:hAnsi="Times New Roman" w:cs="Times New Roman"/>
                      <w:color w:val="auto"/>
                      <w:w w:val="100"/>
                      <w:sz w:val="18"/>
                      <w:szCs w:val="18"/>
                      <w:highlight w:val="none"/>
                      <w:shd w:val="clear" w:color="auto" w:fill="auto"/>
                      <w:lang w:eastAsia="zh-CN"/>
                    </w:rPr>
                    <w:t>☑</w:t>
                  </w:r>
                  <w:r>
                    <w:rPr>
                      <w:rFonts w:hint="default" w:ascii="Times New Roman" w:hAnsi="Times New Roman" w:cs="Times New Roman"/>
                      <w:color w:val="auto"/>
                      <w:w w:val="100"/>
                      <w:kern w:val="2"/>
                      <w:sz w:val="21"/>
                      <w:szCs w:val="21"/>
                      <w:highlight w:val="none"/>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60"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p>
              </w:tc>
              <w:tc>
                <w:tcPr>
                  <w:tcW w:w="1669"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岸线距离/m</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eastAsia" w:ascii="Times New Roman" w:hAnsi="Times New Roman" w:eastAsia="宋体" w:cs="Times New Roman"/>
                      <w:color w:val="auto"/>
                      <w:w w:val="100"/>
                      <w:kern w:val="2"/>
                      <w:sz w:val="21"/>
                      <w:szCs w:val="21"/>
                      <w:highlight w:val="none"/>
                      <w:lang w:eastAsia="zh-CN"/>
                    </w:rPr>
                  </w:pPr>
                  <w:r>
                    <w:rPr>
                      <w:rFonts w:hint="eastAsia" w:ascii="Times New Roman" w:hAnsi="Times New Roman" w:cs="Times New Roman"/>
                      <w:color w:val="auto"/>
                      <w:w w:val="100"/>
                      <w:kern w:val="2"/>
                      <w:sz w:val="21"/>
                      <w:szCs w:val="21"/>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60"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p>
              </w:tc>
              <w:tc>
                <w:tcPr>
                  <w:tcW w:w="1669"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default" w:ascii="Times New Roman" w:hAnsi="Times New Roman" w:cs="Times New Roman"/>
                      <w:color w:val="auto"/>
                      <w:w w:val="100"/>
                      <w:kern w:val="2"/>
                      <w:sz w:val="21"/>
                      <w:szCs w:val="21"/>
                      <w:highlight w:val="none"/>
                    </w:rPr>
                  </w:pPr>
                  <w:r>
                    <w:rPr>
                      <w:rFonts w:hint="default" w:ascii="Times New Roman" w:hAnsi="Times New Roman" w:cs="Times New Roman"/>
                      <w:color w:val="auto"/>
                      <w:w w:val="100"/>
                      <w:kern w:val="2"/>
                      <w:sz w:val="21"/>
                      <w:szCs w:val="21"/>
                      <w:highlight w:val="none"/>
                    </w:rPr>
                    <w:t>岸线方向/°</w:t>
                  </w:r>
                </w:p>
              </w:tc>
              <w:tc>
                <w:tcPr>
                  <w:tcW w:w="1670" w:type="pct"/>
                  <w:noWrap w:val="0"/>
                  <w:vAlign w:val="center"/>
                </w:tcPr>
                <w:p>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eastAsia" w:ascii="Times New Roman" w:hAnsi="Times New Roman" w:eastAsia="宋体" w:cs="Times New Roman"/>
                      <w:color w:val="auto"/>
                      <w:w w:val="100"/>
                      <w:kern w:val="2"/>
                      <w:sz w:val="21"/>
                      <w:szCs w:val="21"/>
                      <w:highlight w:val="none"/>
                      <w:lang w:eastAsia="zh-CN"/>
                    </w:rPr>
                  </w:pPr>
                  <w:r>
                    <w:rPr>
                      <w:rFonts w:hint="eastAsia" w:ascii="Times New Roman" w:hAnsi="Times New Roman" w:cs="Times New Roman"/>
                      <w:color w:val="auto"/>
                      <w:w w:val="100"/>
                      <w:kern w:val="2"/>
                      <w:sz w:val="21"/>
                      <w:szCs w:val="21"/>
                      <w:highlight w:val="none"/>
                      <w:lang w:eastAsia="zh-CN"/>
                    </w:rPr>
                    <w:t>—</w:t>
                  </w:r>
                </w:p>
              </w:tc>
            </w:tr>
          </w:tbl>
          <w:p>
            <w:pPr>
              <w:spacing w:line="480" w:lineRule="exact"/>
              <w:ind w:firstLine="420" w:firstLineChars="200"/>
              <w:jc w:val="left"/>
              <w:rPr>
                <w:color w:val="auto"/>
                <w:sz w:val="24"/>
                <w:highlight w:val="none"/>
                <w:lang w:val="zh-CN"/>
              </w:rPr>
            </w:pPr>
            <w:r>
              <w:rPr>
                <w:color w:val="auto"/>
                <w:highlight w:val="none"/>
              </w:rPr>
              <w:fldChar w:fldCharType="begin"/>
            </w:r>
            <w:r>
              <w:rPr>
                <w:color w:val="auto"/>
                <w:sz w:val="24"/>
                <w:highlight w:val="none"/>
                <w:lang w:val="zh-CN"/>
              </w:rPr>
              <w:instrText xml:space="preserve"> = 4 \* GB3 \* MERGEFORMAT </w:instrText>
            </w:r>
            <w:r>
              <w:rPr>
                <w:color w:val="auto"/>
                <w:sz w:val="24"/>
                <w:highlight w:val="none"/>
                <w:lang w:val="zh-CN"/>
              </w:rPr>
              <w:fldChar w:fldCharType="separate"/>
            </w:r>
            <w:r>
              <w:rPr>
                <w:color w:val="auto"/>
                <w:highlight w:val="none"/>
              </w:rPr>
              <w:t>④</w:t>
            </w:r>
            <w:r>
              <w:rPr>
                <w:color w:val="auto"/>
                <w:sz w:val="24"/>
                <w:highlight w:val="none"/>
                <w:lang w:val="zh-CN"/>
              </w:rPr>
              <w:fldChar w:fldCharType="end"/>
            </w:r>
            <w:r>
              <w:rPr>
                <w:color w:val="auto"/>
                <w:sz w:val="24"/>
                <w:highlight w:val="none"/>
                <w:lang w:val="zh-CN"/>
              </w:rPr>
              <w:t>Pmax的确定</w:t>
            </w:r>
          </w:p>
          <w:p>
            <w:pPr>
              <w:autoSpaceDE w:val="0"/>
              <w:autoSpaceDN w:val="0"/>
              <w:adjustRightInd w:val="0"/>
              <w:spacing w:line="480" w:lineRule="exact"/>
              <w:ind w:firstLine="527"/>
              <w:jc w:val="left"/>
              <w:rPr>
                <w:color w:val="auto"/>
                <w:sz w:val="24"/>
                <w:highlight w:val="none"/>
                <w:lang w:val="zh-CN"/>
              </w:rPr>
            </w:pPr>
            <w:r>
              <w:rPr>
                <w:color w:val="auto"/>
                <w:sz w:val="24"/>
                <w:highlight w:val="none"/>
                <w:lang w:val="zh-CN"/>
              </w:rPr>
              <w:t>依据《环境影响评价技术导则·大气环境》(HJ2.2-2018)中最大地面浓度占标率的计算公</w:t>
            </w:r>
            <w:r>
              <w:rPr>
                <w:rFonts w:hint="eastAsia"/>
                <w:color w:val="auto"/>
                <w:sz w:val="24"/>
                <w:highlight w:val="none"/>
                <w:lang w:val="zh-CN"/>
              </w:rPr>
              <w:t>式</w:t>
            </w:r>
            <w:r>
              <w:rPr>
                <w:color w:val="auto"/>
                <w:sz w:val="24"/>
                <w:highlight w:val="none"/>
                <w:lang w:val="zh-CN"/>
              </w:rPr>
              <w:t>：</w:t>
            </w:r>
          </w:p>
          <w:p>
            <w:pPr>
              <w:autoSpaceDE w:val="0"/>
              <w:autoSpaceDN w:val="0"/>
              <w:adjustRightInd w:val="0"/>
              <w:spacing w:before="120"/>
              <w:ind w:firstLine="507"/>
              <w:jc w:val="center"/>
              <w:rPr>
                <w:color w:val="auto"/>
                <w:sz w:val="24"/>
                <w:highlight w:val="none"/>
                <w:lang w:val="zh-CN"/>
              </w:rPr>
            </w:pPr>
            <w:r>
              <w:rPr>
                <w:color w:val="auto"/>
                <w:position w:val="-30"/>
                <w:sz w:val="24"/>
                <w:highlight w:val="none"/>
              </w:rPr>
              <w:drawing>
                <wp:inline distT="0" distB="0" distL="114300" distR="114300">
                  <wp:extent cx="993775" cy="429260"/>
                  <wp:effectExtent l="0" t="0" r="0" b="1270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3" cstate="print"/>
                          <a:stretch>
                            <a:fillRect/>
                          </a:stretch>
                        </pic:blipFill>
                        <pic:spPr>
                          <a:xfrm>
                            <a:off x="0" y="0"/>
                            <a:ext cx="993775" cy="429260"/>
                          </a:xfrm>
                          <a:prstGeom prst="rect">
                            <a:avLst/>
                          </a:prstGeom>
                          <a:noFill/>
                          <a:ln>
                            <a:noFill/>
                          </a:ln>
                        </pic:spPr>
                      </pic:pic>
                    </a:graphicData>
                  </a:graphic>
                </wp:inline>
              </w:drawing>
            </w:r>
          </w:p>
          <w:p>
            <w:pPr>
              <w:autoSpaceDE w:val="0"/>
              <w:autoSpaceDN w:val="0"/>
              <w:adjustRightInd w:val="0"/>
              <w:spacing w:line="480" w:lineRule="exact"/>
              <w:ind w:firstLine="527"/>
              <w:jc w:val="left"/>
              <w:rPr>
                <w:color w:val="auto"/>
                <w:sz w:val="24"/>
                <w:highlight w:val="none"/>
                <w:lang w:val="zh-CN"/>
              </w:rPr>
            </w:pPr>
            <w:r>
              <w:rPr>
                <w:color w:val="auto"/>
                <w:sz w:val="24"/>
                <w:highlight w:val="none"/>
                <w:lang w:val="zh-CN"/>
              </w:rPr>
              <w:t>式中：P</w:t>
            </w:r>
            <w:r>
              <w:rPr>
                <w:color w:val="auto"/>
                <w:sz w:val="24"/>
                <w:highlight w:val="none"/>
                <w:vertAlign w:val="subscript"/>
                <w:lang w:val="zh-CN"/>
              </w:rPr>
              <w:t>i</w:t>
            </w:r>
            <w:r>
              <w:rPr>
                <w:color w:val="auto"/>
                <w:sz w:val="24"/>
                <w:highlight w:val="none"/>
                <w:lang w:val="zh-CN"/>
              </w:rPr>
              <w:t>——第i个污染物的最大地面浓度占标率，%；</w:t>
            </w:r>
          </w:p>
          <w:p>
            <w:pPr>
              <w:autoSpaceDE w:val="0"/>
              <w:autoSpaceDN w:val="0"/>
              <w:adjustRightInd w:val="0"/>
              <w:spacing w:line="480" w:lineRule="exact"/>
              <w:ind w:firstLine="1317"/>
              <w:jc w:val="left"/>
              <w:rPr>
                <w:color w:val="auto"/>
                <w:sz w:val="24"/>
                <w:highlight w:val="none"/>
                <w:lang w:val="zh-CN"/>
              </w:rPr>
            </w:pPr>
            <w:r>
              <w:rPr>
                <w:color w:val="auto"/>
                <w:sz w:val="24"/>
                <w:highlight w:val="none"/>
                <w:lang w:val="zh-CN"/>
              </w:rPr>
              <w:t>C</w:t>
            </w:r>
            <w:r>
              <w:rPr>
                <w:color w:val="auto"/>
                <w:sz w:val="24"/>
                <w:highlight w:val="none"/>
                <w:vertAlign w:val="subscript"/>
                <w:lang w:val="zh-CN"/>
              </w:rPr>
              <w:t>i</w:t>
            </w:r>
            <w:r>
              <w:rPr>
                <w:color w:val="auto"/>
                <w:sz w:val="24"/>
                <w:highlight w:val="none"/>
                <w:lang w:val="zh-CN"/>
              </w:rPr>
              <w:t>——采用估算模式计算出的第i个污染物的最大地面浓度，mg/m</w:t>
            </w:r>
            <w:r>
              <w:rPr>
                <w:color w:val="auto"/>
                <w:sz w:val="24"/>
                <w:highlight w:val="none"/>
                <w:vertAlign w:val="superscript"/>
                <w:lang w:val="zh-CN"/>
              </w:rPr>
              <w:t>3</w:t>
            </w:r>
            <w:r>
              <w:rPr>
                <w:color w:val="auto"/>
                <w:sz w:val="24"/>
                <w:highlight w:val="none"/>
                <w:lang w:val="zh-CN"/>
              </w:rPr>
              <w:t>；</w:t>
            </w:r>
          </w:p>
          <w:p>
            <w:pPr>
              <w:autoSpaceDE w:val="0"/>
              <w:autoSpaceDN w:val="0"/>
              <w:adjustRightInd w:val="0"/>
              <w:spacing w:line="480" w:lineRule="exact"/>
              <w:ind w:firstLine="1317"/>
              <w:jc w:val="left"/>
              <w:rPr>
                <w:color w:val="auto"/>
                <w:sz w:val="24"/>
                <w:highlight w:val="none"/>
                <w:lang w:val="zh-CN"/>
              </w:rPr>
            </w:pPr>
            <w:r>
              <w:rPr>
                <w:color w:val="auto"/>
                <w:sz w:val="24"/>
                <w:highlight w:val="none"/>
                <w:lang w:val="zh-CN"/>
              </w:rPr>
              <w:t>C</w:t>
            </w:r>
            <w:r>
              <w:rPr>
                <w:color w:val="auto"/>
                <w:sz w:val="24"/>
                <w:highlight w:val="none"/>
                <w:vertAlign w:val="subscript"/>
                <w:lang w:val="zh-CN"/>
              </w:rPr>
              <w:t>oi</w:t>
            </w:r>
            <w:r>
              <w:rPr>
                <w:color w:val="auto"/>
                <w:sz w:val="24"/>
                <w:highlight w:val="none"/>
                <w:lang w:val="zh-CN"/>
              </w:rPr>
              <w:t>——第i个污染物的环境空气质量标准，mg/m</w:t>
            </w:r>
            <w:r>
              <w:rPr>
                <w:color w:val="auto"/>
                <w:sz w:val="24"/>
                <w:highlight w:val="none"/>
                <w:vertAlign w:val="superscript"/>
                <w:lang w:val="zh-CN"/>
              </w:rPr>
              <w:t>3</w:t>
            </w:r>
            <w:r>
              <w:rPr>
                <w:color w:val="auto"/>
                <w:sz w:val="24"/>
                <w:highlight w:val="none"/>
                <w:lang w:val="zh-CN"/>
              </w:rPr>
              <w:t>。</w:t>
            </w:r>
          </w:p>
          <w:p>
            <w:pPr>
              <w:autoSpaceDE w:val="0"/>
              <w:autoSpaceDN w:val="0"/>
              <w:adjustRightInd w:val="0"/>
              <w:spacing w:line="480" w:lineRule="exact"/>
              <w:ind w:firstLine="527"/>
              <w:jc w:val="left"/>
              <w:rPr>
                <w:color w:val="auto"/>
                <w:sz w:val="24"/>
                <w:highlight w:val="none"/>
              </w:rPr>
            </w:pPr>
            <w:r>
              <w:rPr>
                <w:color w:val="auto"/>
                <w:sz w:val="24"/>
                <w:highlight w:val="none"/>
              </w:rPr>
              <w:t>利用导则推荐的</w:t>
            </w:r>
            <w:r>
              <w:rPr>
                <w:color w:val="auto"/>
                <w:spacing w:val="6"/>
                <w:sz w:val="24"/>
                <w:highlight w:val="none"/>
                <w:lang w:val="zh-CN"/>
              </w:rPr>
              <w:t>估算模式AERSCREEN</w:t>
            </w:r>
            <w:r>
              <w:rPr>
                <w:color w:val="auto"/>
                <w:sz w:val="24"/>
                <w:highlight w:val="none"/>
              </w:rPr>
              <w:t>计算P</w:t>
            </w:r>
            <w:r>
              <w:rPr>
                <w:color w:val="auto"/>
                <w:sz w:val="24"/>
                <w:highlight w:val="none"/>
                <w:vertAlign w:val="subscript"/>
              </w:rPr>
              <w:t>max</w:t>
            </w:r>
            <w:r>
              <w:rPr>
                <w:color w:val="auto"/>
                <w:sz w:val="24"/>
                <w:highlight w:val="none"/>
              </w:rPr>
              <w:t>，主要污染源估算模型计算结果见下表。</w:t>
            </w:r>
          </w:p>
          <w:p>
            <w:pPr>
              <w:spacing w:line="460" w:lineRule="exact"/>
              <w:ind w:firstLine="504" w:firstLineChars="200"/>
              <w:jc w:val="center"/>
              <w:rPr>
                <w:rFonts w:hint="default" w:ascii="Times New Roman" w:hAnsi="Times New Roman" w:eastAsia="黑体" w:cs="Times New Roman"/>
                <w:b w:val="0"/>
                <w:bCs/>
                <w:color w:val="auto"/>
                <w:spacing w:val="6"/>
                <w:sz w:val="24"/>
                <w:highlight w:val="none"/>
              </w:rPr>
            </w:pPr>
          </w:p>
          <w:p>
            <w:pPr>
              <w:spacing w:line="460" w:lineRule="exact"/>
              <w:ind w:firstLine="504" w:firstLineChars="200"/>
              <w:jc w:val="center"/>
              <w:rPr>
                <w:rFonts w:hint="default" w:ascii="Times New Roman" w:hAnsi="Times New Roman" w:eastAsia="黑体" w:cs="Times New Roman"/>
                <w:b w:val="0"/>
                <w:bCs/>
                <w:color w:val="auto"/>
                <w:spacing w:val="6"/>
                <w:sz w:val="24"/>
                <w:highlight w:val="none"/>
              </w:rPr>
            </w:pPr>
          </w:p>
          <w:p>
            <w:pPr>
              <w:spacing w:line="460" w:lineRule="exact"/>
              <w:ind w:firstLine="504" w:firstLineChars="200"/>
              <w:jc w:val="center"/>
              <w:rPr>
                <w:rFonts w:hint="default" w:ascii="Times New Roman" w:hAnsi="Times New Roman" w:eastAsia="黑体" w:cs="Times New Roman"/>
                <w:b w:val="0"/>
                <w:bCs/>
                <w:color w:val="auto"/>
                <w:spacing w:val="6"/>
                <w:sz w:val="24"/>
                <w:highlight w:val="none"/>
              </w:rPr>
            </w:pPr>
          </w:p>
          <w:p>
            <w:pPr>
              <w:spacing w:line="460" w:lineRule="exact"/>
              <w:ind w:firstLine="504" w:firstLineChars="200"/>
              <w:jc w:val="center"/>
              <w:rPr>
                <w:rFonts w:hint="default" w:ascii="Times New Roman" w:hAnsi="Times New Roman" w:eastAsia="黑体" w:cs="Times New Roman"/>
                <w:b w:val="0"/>
                <w:bCs/>
                <w:color w:val="auto"/>
                <w:spacing w:val="6"/>
                <w:sz w:val="24"/>
                <w:highlight w:val="none"/>
              </w:rPr>
            </w:pPr>
          </w:p>
          <w:p>
            <w:pPr>
              <w:spacing w:line="460" w:lineRule="exact"/>
              <w:ind w:firstLine="504" w:firstLineChars="200"/>
              <w:jc w:val="center"/>
              <w:rPr>
                <w:rFonts w:hint="default" w:ascii="Times New Roman" w:hAnsi="Times New Roman" w:eastAsia="黑体" w:cs="Times New Roman"/>
                <w:b w:val="0"/>
                <w:bCs/>
                <w:color w:val="auto"/>
                <w:spacing w:val="6"/>
                <w:sz w:val="24"/>
                <w:highlight w:val="none"/>
              </w:rPr>
            </w:pPr>
            <w:r>
              <w:rPr>
                <w:rFonts w:hint="default" w:ascii="Times New Roman" w:hAnsi="Times New Roman" w:eastAsia="黑体" w:cs="Times New Roman"/>
                <w:b w:val="0"/>
                <w:bCs/>
                <w:color w:val="auto"/>
                <w:spacing w:val="6"/>
                <w:sz w:val="24"/>
                <w:highlight w:val="none"/>
              </w:rPr>
              <w:t>表</w:t>
            </w:r>
            <w:r>
              <w:rPr>
                <w:rFonts w:hint="eastAsia" w:ascii="Times New Roman" w:hAnsi="Times New Roman" w:eastAsia="黑体" w:cs="Times New Roman"/>
                <w:b w:val="0"/>
                <w:bCs/>
                <w:color w:val="auto"/>
                <w:spacing w:val="6"/>
                <w:sz w:val="24"/>
                <w:highlight w:val="none"/>
                <w:lang w:val="en-US" w:eastAsia="zh-CN"/>
              </w:rPr>
              <w:t>2</w:t>
            </w:r>
            <w:r>
              <w:rPr>
                <w:rFonts w:hint="eastAsia" w:eastAsia="黑体" w:cs="Times New Roman"/>
                <w:b w:val="0"/>
                <w:bCs/>
                <w:color w:val="auto"/>
                <w:spacing w:val="6"/>
                <w:sz w:val="24"/>
                <w:highlight w:val="none"/>
                <w:lang w:val="en-US" w:eastAsia="zh-CN"/>
              </w:rPr>
              <w:t>2</w:t>
            </w:r>
            <w:r>
              <w:rPr>
                <w:rFonts w:hint="default" w:ascii="Times New Roman" w:hAnsi="Times New Roman" w:eastAsia="黑体" w:cs="Times New Roman"/>
                <w:b w:val="0"/>
                <w:bCs/>
                <w:color w:val="auto"/>
                <w:spacing w:val="6"/>
                <w:sz w:val="24"/>
                <w:highlight w:val="none"/>
              </w:rPr>
              <w:t xml:space="preserve">    主要污染源估算模型计算结果一览表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2616"/>
              <w:gridCol w:w="1653"/>
              <w:gridCol w:w="1622"/>
              <w:gridCol w:w="1646"/>
              <w:gridCol w:w="161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30" w:hRule="atLeast"/>
                <w:tblHeader/>
                <w:jc w:val="center"/>
              </w:trPr>
              <w:tc>
                <w:tcPr>
                  <w:tcW w:w="1927" w:type="dxa"/>
                  <w:vMerge w:val="restart"/>
                  <w:noWrap w:val="0"/>
                  <w:vAlign w:val="center"/>
                </w:tcPr>
                <w:p>
                  <w:pPr>
                    <w:adjustRightInd w:val="0"/>
                    <w:snapToGrid w:val="0"/>
                    <w:spacing w:line="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参数名称</w:t>
                  </w:r>
                </w:p>
              </w:tc>
              <w:tc>
                <w:tcPr>
                  <w:tcW w:w="2413" w:type="dxa"/>
                  <w:gridSpan w:val="2"/>
                  <w:noWrap w:val="0"/>
                  <w:vAlign w:val="center"/>
                </w:tcPr>
                <w:p>
                  <w:pPr>
                    <w:widowControl/>
                    <w:jc w:val="center"/>
                    <w:textAlignment w:val="center"/>
                    <w:rPr>
                      <w:rFonts w:hint="eastAsia"/>
                      <w:color w:val="auto"/>
                      <w:sz w:val="21"/>
                      <w:szCs w:val="21"/>
                      <w:highlight w:val="none"/>
                      <w:lang w:val="en-US" w:eastAsia="zh-CN"/>
                    </w:rPr>
                  </w:pPr>
                  <w:r>
                    <w:rPr>
                      <w:rFonts w:hint="eastAsia" w:cs="Times New Roman"/>
                      <w:color w:val="auto"/>
                      <w:sz w:val="21"/>
                      <w:szCs w:val="21"/>
                      <w:highlight w:val="none"/>
                      <w:lang w:val="en-US" w:eastAsia="zh-CN"/>
                    </w:rPr>
                    <w:t>1#排气筒</w:t>
                  </w:r>
                </w:p>
              </w:tc>
              <w:tc>
                <w:tcPr>
                  <w:tcW w:w="2405" w:type="dxa"/>
                  <w:gridSpan w:val="2"/>
                  <w:noWrap w:val="0"/>
                  <w:vAlign w:val="center"/>
                </w:tcPr>
                <w:p>
                  <w:pPr>
                    <w:widowControl/>
                    <w:jc w:val="center"/>
                    <w:textAlignment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2#排气筒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9" w:hRule="atLeast"/>
                <w:tblHeader/>
                <w:jc w:val="center"/>
              </w:trPr>
              <w:tc>
                <w:tcPr>
                  <w:tcW w:w="1927" w:type="dxa"/>
                  <w:vMerge w:val="continue"/>
                  <w:noWrap w:val="0"/>
                  <w:vAlign w:val="center"/>
                </w:tcPr>
                <w:p>
                  <w:pPr>
                    <w:adjustRightInd w:val="0"/>
                    <w:snapToGrid w:val="0"/>
                    <w:spacing w:line="0" w:lineRule="atLeast"/>
                    <w:jc w:val="center"/>
                    <w:rPr>
                      <w:rFonts w:hint="default" w:ascii="Times New Roman" w:hAnsi="Times New Roman" w:cs="Times New Roman"/>
                      <w:color w:val="auto"/>
                      <w:szCs w:val="21"/>
                      <w:highlight w:val="none"/>
                    </w:rPr>
                  </w:pPr>
                </w:p>
              </w:tc>
              <w:tc>
                <w:tcPr>
                  <w:tcW w:w="2413" w:type="dxa"/>
                  <w:gridSpan w:val="2"/>
                  <w:noWrap w:val="0"/>
                  <w:vAlign w:val="center"/>
                </w:tcPr>
                <w:p>
                  <w:pPr>
                    <w:widowControl/>
                    <w:jc w:val="center"/>
                    <w:textAlignment w:val="center"/>
                    <w:rPr>
                      <w:rFonts w:hint="eastAsia" w:ascii="Times New Roman" w:hAnsi="Times New Roman" w:cs="Times New Roman"/>
                      <w:color w:val="auto"/>
                      <w:szCs w:val="21"/>
                      <w:highlight w:val="none"/>
                      <w:lang w:eastAsia="zh-CN"/>
                    </w:rPr>
                  </w:pPr>
                  <w:r>
                    <w:rPr>
                      <w:rFonts w:hint="eastAsia" w:cs="Times New Roman"/>
                      <w:color w:val="auto"/>
                      <w:sz w:val="21"/>
                      <w:szCs w:val="21"/>
                      <w:highlight w:val="none"/>
                      <w:lang w:eastAsia="zh-CN"/>
                    </w:rPr>
                    <w:t>颗粒物</w:t>
                  </w:r>
                </w:p>
              </w:tc>
              <w:tc>
                <w:tcPr>
                  <w:tcW w:w="2405" w:type="dxa"/>
                  <w:gridSpan w:val="2"/>
                  <w:noWrap w:val="0"/>
                  <w:vAlign w:val="center"/>
                </w:tcPr>
                <w:p>
                  <w:pPr>
                    <w:widowControl/>
                    <w:jc w:val="center"/>
                    <w:textAlignment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颗粒物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927" w:type="dxa"/>
                  <w:vMerge w:val="continue"/>
                  <w:noWrap w:val="0"/>
                  <w:vAlign w:val="center"/>
                </w:tcPr>
                <w:p>
                  <w:pPr>
                    <w:adjustRightInd w:val="0"/>
                    <w:snapToGrid w:val="0"/>
                    <w:spacing w:line="0" w:lineRule="atLeast"/>
                    <w:jc w:val="center"/>
                    <w:rPr>
                      <w:rFonts w:hint="default" w:ascii="Times New Roman" w:hAnsi="Times New Roman" w:cs="Times New Roman"/>
                      <w:color w:val="auto"/>
                      <w:szCs w:val="21"/>
                      <w:highlight w:val="none"/>
                    </w:rPr>
                  </w:pPr>
                </w:p>
              </w:tc>
              <w:tc>
                <w:tcPr>
                  <w:tcW w:w="1218" w:type="dxa"/>
                  <w:noWrap w:val="0"/>
                  <w:vAlign w:val="center"/>
                </w:tcPr>
                <w:p>
                  <w:pPr>
                    <w:adjustRightInd w:val="0"/>
                    <w:snapToGrid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预测质量浓度/（mg/m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p>
              </w:tc>
              <w:tc>
                <w:tcPr>
                  <w:tcW w:w="1195" w:type="dxa"/>
                  <w:noWrap w:val="0"/>
                  <w:vAlign w:val="center"/>
                </w:tcPr>
                <w:p>
                  <w:pPr>
                    <w:adjustRightInd w:val="0"/>
                    <w:snapToGrid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P</w:t>
                  </w:r>
                  <w:r>
                    <w:rPr>
                      <w:rFonts w:hint="default" w:ascii="Times New Roman" w:hAnsi="Times New Roman" w:cs="Times New Roman"/>
                      <w:color w:val="auto"/>
                      <w:sz w:val="21"/>
                      <w:szCs w:val="21"/>
                      <w:highlight w:val="none"/>
                      <w:vertAlign w:val="subscript"/>
                    </w:rPr>
                    <w:t>max</w:t>
                  </w:r>
                  <w:r>
                    <w:rPr>
                      <w:rFonts w:hint="default" w:ascii="Times New Roman" w:hAnsi="Times New Roman" w:cs="Times New Roman"/>
                      <w:color w:val="auto"/>
                      <w:sz w:val="21"/>
                      <w:szCs w:val="21"/>
                      <w:highlight w:val="none"/>
                    </w:rPr>
                    <w:t>占标率/%</w:t>
                  </w:r>
                </w:p>
              </w:tc>
              <w:tc>
                <w:tcPr>
                  <w:tcW w:w="1213" w:type="dxa"/>
                  <w:noWrap w:val="0"/>
                  <w:vAlign w:val="center"/>
                </w:tcPr>
                <w:p>
                  <w:pPr>
                    <w:adjustRightInd w:val="0"/>
                    <w:snapToGrid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预测质量浓度/（mg/m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p>
              </w:tc>
              <w:tc>
                <w:tcPr>
                  <w:tcW w:w="1192" w:type="dxa"/>
                  <w:noWrap w:val="0"/>
                  <w:vAlign w:val="center"/>
                </w:tcPr>
                <w:p>
                  <w:pPr>
                    <w:adjustRightInd w:val="0"/>
                    <w:snapToGrid w:val="0"/>
                    <w:spacing w:line="0" w:lineRule="atLeast"/>
                    <w:jc w:val="center"/>
                    <w:rPr>
                      <w:color w:val="auto"/>
                      <w:highlight w:val="none"/>
                    </w:rPr>
                  </w:pPr>
                  <w:r>
                    <w:rPr>
                      <w:rFonts w:hint="default" w:ascii="Times New Roman" w:hAnsi="Times New Roman" w:cs="Times New Roman"/>
                      <w:color w:val="auto"/>
                      <w:sz w:val="21"/>
                      <w:szCs w:val="21"/>
                      <w:highlight w:val="none"/>
                    </w:rPr>
                    <w:t>P</w:t>
                  </w:r>
                  <w:r>
                    <w:rPr>
                      <w:rFonts w:hint="default" w:ascii="Times New Roman" w:hAnsi="Times New Roman" w:cs="Times New Roman"/>
                      <w:color w:val="auto"/>
                      <w:sz w:val="21"/>
                      <w:szCs w:val="21"/>
                      <w:highlight w:val="none"/>
                      <w:vertAlign w:val="subscript"/>
                    </w:rPr>
                    <w:t>max</w:t>
                  </w:r>
                  <w:r>
                    <w:rPr>
                      <w:rFonts w:hint="default" w:ascii="Times New Roman" w:hAnsi="Times New Roman" w:cs="Times New Roman"/>
                      <w:color w:val="auto"/>
                      <w:sz w:val="21"/>
                      <w:szCs w:val="21"/>
                      <w:highlight w:val="none"/>
                    </w:rPr>
                    <w:t>占标率/%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27" w:type="dxa"/>
                  <w:noWrap w:val="0"/>
                  <w:vAlign w:val="center"/>
                </w:tcPr>
                <w:p>
                  <w:pPr>
                    <w:adjustRightInd w:val="0"/>
                    <w:snapToGrid w:val="0"/>
                    <w:spacing w:line="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下风向最大质量浓度及占标率%</w:t>
                  </w:r>
                </w:p>
              </w:tc>
              <w:tc>
                <w:tcPr>
                  <w:tcW w:w="1218" w:type="dxa"/>
                  <w:noWrap w:val="0"/>
                  <w:vAlign w:val="center"/>
                </w:tcPr>
                <w:p>
                  <w:pPr>
                    <w:adjustRightInd w:val="0"/>
                    <w:snapToGrid w:val="0"/>
                    <w:spacing w:line="0" w:lineRule="atLeast"/>
                    <w:jc w:val="center"/>
                    <w:rPr>
                      <w:rFonts w:hint="default" w:eastAsia="宋体"/>
                      <w:color w:val="auto"/>
                      <w:kern w:val="2"/>
                      <w:sz w:val="21"/>
                      <w:szCs w:val="21"/>
                      <w:highlight w:val="none"/>
                      <w:lang w:val="en-US" w:eastAsia="zh-CN" w:bidi="ar-SA"/>
                    </w:rPr>
                  </w:pPr>
                  <w:r>
                    <w:rPr>
                      <w:rFonts w:hint="eastAsia"/>
                      <w:color w:val="auto"/>
                      <w:kern w:val="2"/>
                      <w:sz w:val="21"/>
                      <w:szCs w:val="21"/>
                      <w:highlight w:val="none"/>
                      <w:lang w:val="en-US" w:eastAsia="zh-CN" w:bidi="ar-SA"/>
                    </w:rPr>
                    <w:t>0.00273</w:t>
                  </w:r>
                </w:p>
              </w:tc>
              <w:tc>
                <w:tcPr>
                  <w:tcW w:w="1195" w:type="dxa"/>
                  <w:noWrap w:val="0"/>
                  <w:vAlign w:val="center"/>
                </w:tcPr>
                <w:p>
                  <w:pPr>
                    <w:adjustRightInd w:val="0"/>
                    <w:snapToGrid w:val="0"/>
                    <w:spacing w:line="0" w:lineRule="atLeast"/>
                    <w:jc w:val="center"/>
                    <w:rPr>
                      <w:rFonts w:hint="default" w:ascii="Times New Roman" w:hAnsi="Times New Roman" w:eastAsia="宋体" w:cs="Times New Roman"/>
                      <w:color w:val="auto"/>
                      <w:kern w:val="2"/>
                      <w:sz w:val="21"/>
                      <w:highlight w:val="none"/>
                      <w:lang w:val="en-US" w:eastAsia="zh-CN" w:bidi="ar-SA"/>
                    </w:rPr>
                  </w:pPr>
                  <w:r>
                    <w:rPr>
                      <w:rFonts w:hint="eastAsia" w:cs="Times New Roman"/>
                      <w:color w:val="auto"/>
                      <w:kern w:val="2"/>
                      <w:sz w:val="21"/>
                      <w:highlight w:val="none"/>
                      <w:lang w:val="en-US" w:eastAsia="zh-CN" w:bidi="ar-SA"/>
                    </w:rPr>
                    <w:t>0.61</w:t>
                  </w:r>
                </w:p>
              </w:tc>
              <w:tc>
                <w:tcPr>
                  <w:tcW w:w="1213" w:type="dxa"/>
                  <w:noWrap w:val="0"/>
                  <w:vAlign w:val="center"/>
                </w:tcPr>
                <w:p>
                  <w:pPr>
                    <w:adjustRightInd w:val="0"/>
                    <w:snapToGrid w:val="0"/>
                    <w:spacing w:line="0" w:lineRule="atLeast"/>
                    <w:jc w:val="center"/>
                    <w:rPr>
                      <w:rFonts w:hint="default" w:cs="Times New Roman"/>
                      <w:color w:val="auto"/>
                      <w:kern w:val="2"/>
                      <w:sz w:val="21"/>
                      <w:highlight w:val="none"/>
                      <w:lang w:val="en-US" w:eastAsia="zh-CN" w:bidi="ar-SA"/>
                    </w:rPr>
                  </w:pPr>
                  <w:r>
                    <w:rPr>
                      <w:rFonts w:hint="eastAsia"/>
                      <w:color w:val="auto"/>
                      <w:kern w:val="2"/>
                      <w:sz w:val="21"/>
                      <w:szCs w:val="21"/>
                      <w:highlight w:val="none"/>
                      <w:lang w:val="en-US" w:eastAsia="zh-CN" w:bidi="ar-SA"/>
                    </w:rPr>
                    <w:t>0.0011</w:t>
                  </w:r>
                </w:p>
              </w:tc>
              <w:tc>
                <w:tcPr>
                  <w:tcW w:w="1192" w:type="dxa"/>
                  <w:noWrap w:val="0"/>
                  <w:vAlign w:val="center"/>
                </w:tcPr>
                <w:p>
                  <w:pPr>
                    <w:adjustRightInd w:val="0"/>
                    <w:snapToGrid w:val="0"/>
                    <w:spacing w:line="0" w:lineRule="atLeast"/>
                    <w:jc w:val="center"/>
                    <w:rPr>
                      <w:rFonts w:hint="default"/>
                      <w:color w:val="auto"/>
                      <w:highlight w:val="none"/>
                      <w:lang w:val="en-US"/>
                    </w:rPr>
                  </w:pPr>
                  <w:r>
                    <w:rPr>
                      <w:rFonts w:hint="eastAsia" w:cs="Times New Roman"/>
                      <w:color w:val="auto"/>
                      <w:kern w:val="2"/>
                      <w:sz w:val="21"/>
                      <w:highlight w:val="none"/>
                      <w:lang w:val="en-US" w:eastAsia="zh-CN" w:bidi="ar-SA"/>
                    </w:rPr>
                    <w:t>0.24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1927" w:type="dxa"/>
                  <w:noWrap w:val="0"/>
                  <w:vAlign w:val="center"/>
                </w:tcPr>
                <w:p>
                  <w:pPr>
                    <w:adjustRightInd w:val="0"/>
                    <w:snapToGrid w:val="0"/>
                    <w:spacing w:line="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最大值出现距离（m）</w:t>
                  </w:r>
                </w:p>
              </w:tc>
              <w:tc>
                <w:tcPr>
                  <w:tcW w:w="2413" w:type="dxa"/>
                  <w:gridSpan w:val="2"/>
                  <w:noWrap w:val="0"/>
                  <w:vAlign w:val="center"/>
                </w:tcPr>
                <w:p>
                  <w:pPr>
                    <w:adjustRightInd w:val="0"/>
                    <w:snapToGrid w:val="0"/>
                    <w:spacing w:line="0" w:lineRule="atLeast"/>
                    <w:jc w:val="center"/>
                    <w:rPr>
                      <w:rFonts w:hint="default"/>
                      <w:color w:val="auto"/>
                      <w:kern w:val="2"/>
                      <w:sz w:val="21"/>
                      <w:szCs w:val="21"/>
                      <w:highlight w:val="none"/>
                      <w:lang w:val="en-US" w:eastAsia="zh-CN" w:bidi="ar-SA"/>
                    </w:rPr>
                  </w:pPr>
                  <w:r>
                    <w:rPr>
                      <w:rFonts w:hint="eastAsia"/>
                      <w:color w:val="auto"/>
                      <w:kern w:val="2"/>
                      <w:sz w:val="21"/>
                      <w:szCs w:val="21"/>
                      <w:highlight w:val="none"/>
                      <w:lang w:val="en-US" w:eastAsia="zh-CN" w:bidi="ar-SA"/>
                    </w:rPr>
                    <w:t>103</w:t>
                  </w:r>
                </w:p>
              </w:tc>
              <w:tc>
                <w:tcPr>
                  <w:tcW w:w="2405" w:type="dxa"/>
                  <w:gridSpan w:val="2"/>
                  <w:noWrap w:val="0"/>
                  <w:vAlign w:val="center"/>
                </w:tcPr>
                <w:p>
                  <w:pPr>
                    <w:adjustRightInd w:val="0"/>
                    <w:snapToGrid w:val="0"/>
                    <w:spacing w:line="0" w:lineRule="atLeast"/>
                    <w:jc w:val="center"/>
                    <w:rPr>
                      <w:rFonts w:hint="default"/>
                      <w:color w:val="auto"/>
                      <w:kern w:val="2"/>
                      <w:sz w:val="21"/>
                      <w:szCs w:val="21"/>
                      <w:highlight w:val="none"/>
                      <w:lang w:val="en-US" w:eastAsia="zh-CN" w:bidi="ar-SA"/>
                    </w:rPr>
                  </w:pPr>
                  <w:r>
                    <w:rPr>
                      <w:rFonts w:hint="eastAsia"/>
                      <w:color w:val="auto"/>
                      <w:kern w:val="2"/>
                      <w:sz w:val="21"/>
                      <w:szCs w:val="21"/>
                      <w:highlight w:val="none"/>
                      <w:lang w:val="en-US" w:eastAsia="zh-CN" w:bidi="ar-SA"/>
                    </w:rPr>
                    <w:t>103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27" w:type="dxa"/>
                  <w:noWrap w:val="0"/>
                  <w:vAlign w:val="center"/>
                </w:tcPr>
                <w:p>
                  <w:pPr>
                    <w:adjustRightInd w:val="0"/>
                    <w:snapToGrid w:val="0"/>
                    <w:spacing w:line="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评价等级</w:t>
                  </w:r>
                </w:p>
              </w:tc>
              <w:tc>
                <w:tcPr>
                  <w:tcW w:w="2413" w:type="dxa"/>
                  <w:gridSpan w:val="2"/>
                  <w:noWrap w:val="0"/>
                  <w:vAlign w:val="center"/>
                </w:tcPr>
                <w:p>
                  <w:pPr>
                    <w:jc w:val="center"/>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eastAsia="zh-CN"/>
                    </w:rPr>
                    <w:t>三级</w:t>
                  </w:r>
                </w:p>
              </w:tc>
              <w:tc>
                <w:tcPr>
                  <w:tcW w:w="2405" w:type="dxa"/>
                  <w:gridSpan w:val="2"/>
                  <w:noWrap w:val="0"/>
                  <w:vAlign w:val="center"/>
                </w:tcPr>
                <w:p>
                  <w:pPr>
                    <w:jc w:val="center"/>
                    <w:rPr>
                      <w:rFonts w:hint="eastAsia" w:ascii="Times New Roman" w:hAnsi="Times New Roman" w:cs="Times New Roman"/>
                      <w:color w:val="auto"/>
                      <w:szCs w:val="21"/>
                      <w:highlight w:val="none"/>
                      <w:lang w:eastAsia="zh-CN"/>
                    </w:rPr>
                  </w:pPr>
                  <w:r>
                    <w:rPr>
                      <w:rFonts w:hint="eastAsia" w:cs="Times New Roman"/>
                      <w:color w:val="auto"/>
                      <w:szCs w:val="21"/>
                      <w:highlight w:val="none"/>
                      <w:lang w:eastAsia="zh-CN"/>
                    </w:rPr>
                    <w:t>三级</w:t>
                  </w:r>
                </w:p>
              </w:tc>
            </w:tr>
          </w:tbl>
          <w:p>
            <w:pPr>
              <w:spacing w:line="460" w:lineRule="exact"/>
              <w:jc w:val="center"/>
              <w:rPr>
                <w:rFonts w:hint="default" w:ascii="Times New Roman" w:hAnsi="Times New Roman" w:eastAsia="黑体" w:cs="Times New Roman"/>
                <w:bCs/>
                <w:color w:val="auto"/>
                <w:spacing w:val="6"/>
                <w:sz w:val="24"/>
                <w:szCs w:val="22"/>
                <w:highlight w:val="none"/>
              </w:rPr>
            </w:pPr>
            <w:r>
              <w:rPr>
                <w:rFonts w:hint="default" w:ascii="Times New Roman" w:hAnsi="Times New Roman" w:eastAsia="黑体" w:cs="Times New Roman"/>
                <w:b w:val="0"/>
                <w:bCs/>
                <w:color w:val="auto"/>
                <w:spacing w:val="6"/>
                <w:sz w:val="24"/>
                <w:szCs w:val="22"/>
                <w:highlight w:val="none"/>
              </w:rPr>
              <w:t>表</w:t>
            </w:r>
            <w:r>
              <w:rPr>
                <w:rFonts w:hint="eastAsia" w:ascii="Times New Roman" w:hAnsi="Times New Roman" w:eastAsia="黑体" w:cs="Times New Roman"/>
                <w:b w:val="0"/>
                <w:bCs/>
                <w:color w:val="auto"/>
                <w:spacing w:val="6"/>
                <w:sz w:val="24"/>
                <w:szCs w:val="22"/>
                <w:highlight w:val="none"/>
                <w:lang w:val="en-US" w:eastAsia="zh-CN"/>
              </w:rPr>
              <w:t>2</w:t>
            </w:r>
            <w:r>
              <w:rPr>
                <w:rFonts w:hint="eastAsia" w:eastAsia="黑体" w:cs="Times New Roman"/>
                <w:b w:val="0"/>
                <w:bCs/>
                <w:color w:val="auto"/>
                <w:spacing w:val="6"/>
                <w:sz w:val="24"/>
                <w:szCs w:val="22"/>
                <w:highlight w:val="none"/>
                <w:lang w:val="en-US" w:eastAsia="zh-CN"/>
              </w:rPr>
              <w:t>3</w:t>
            </w:r>
            <w:r>
              <w:rPr>
                <w:rFonts w:hint="default" w:ascii="Times New Roman" w:hAnsi="Times New Roman" w:eastAsia="黑体" w:cs="Times New Roman"/>
                <w:b w:val="0"/>
                <w:bCs/>
                <w:color w:val="auto"/>
                <w:spacing w:val="6"/>
                <w:sz w:val="24"/>
                <w:szCs w:val="22"/>
                <w:highlight w:val="none"/>
              </w:rPr>
              <w:t xml:space="preserve">  无组织预测结果一览表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4168"/>
              <w:gridCol w:w="2980"/>
              <w:gridCol w:w="200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4168"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参数名称</w:t>
                  </w:r>
                </w:p>
              </w:tc>
              <w:tc>
                <w:tcPr>
                  <w:tcW w:w="4987"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cs="Times New Roman"/>
                      <w:color w:val="auto"/>
                      <w:highlight w:val="none"/>
                      <w:lang w:eastAsia="zh-CN"/>
                    </w:rPr>
                  </w:pPr>
                  <w:r>
                    <w:rPr>
                      <w:rFonts w:hint="eastAsia" w:cs="Times New Roman"/>
                      <w:color w:val="auto"/>
                      <w:highlight w:val="none"/>
                      <w:lang w:eastAsia="zh-CN"/>
                    </w:rPr>
                    <w:t>生产</w:t>
                  </w:r>
                  <w:r>
                    <w:rPr>
                      <w:rFonts w:hint="default" w:ascii="Times New Roman" w:hAnsi="Times New Roman" w:cs="Times New Roman"/>
                      <w:color w:val="auto"/>
                      <w:highlight w:val="none"/>
                      <w:lang w:eastAsia="zh-CN"/>
                    </w:rPr>
                    <w:t>车间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4168"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z w:val="21"/>
                      <w:szCs w:val="21"/>
                      <w:highlight w:val="none"/>
                    </w:rPr>
                  </w:pPr>
                </w:p>
              </w:tc>
              <w:tc>
                <w:tcPr>
                  <w:tcW w:w="4987"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cs="Times New Roman"/>
                      <w:color w:val="auto"/>
                      <w:highlight w:val="none"/>
                      <w:lang w:val="en-US" w:eastAsia="zh-CN"/>
                    </w:rPr>
                  </w:pPr>
                  <w:r>
                    <w:rPr>
                      <w:rFonts w:hint="eastAsia" w:cs="Times New Roman"/>
                      <w:color w:val="auto"/>
                      <w:highlight w:val="none"/>
                      <w:lang w:val="en-US" w:eastAsia="zh-CN"/>
                    </w:rPr>
                    <w:t>TSP</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4168"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z w:val="21"/>
                      <w:szCs w:val="21"/>
                      <w:highlight w:val="none"/>
                    </w:rPr>
                  </w:pPr>
                </w:p>
              </w:tc>
              <w:tc>
                <w:tcPr>
                  <w:tcW w:w="29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预测质量浓度</w:t>
                  </w:r>
                  <w:r>
                    <w:rPr>
                      <w:rFonts w:hint="default" w:ascii="Times New Roman" w:hAnsi="Times New Roman" w:cs="Times New Roman"/>
                      <w:color w:val="auto"/>
                      <w:sz w:val="21"/>
                      <w:szCs w:val="21"/>
                      <w:highlight w:val="none"/>
                      <w:lang w:val="en-US" w:eastAsia="zh-CN"/>
                    </w:rPr>
                    <w:t>/（m</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lang w:val="en-US" w:eastAsia="zh-CN"/>
                    </w:rPr>
                    <w:t>）</w:t>
                  </w:r>
                </w:p>
              </w:tc>
              <w:tc>
                <w:tcPr>
                  <w:tcW w:w="20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P</w:t>
                  </w:r>
                  <w:r>
                    <w:rPr>
                      <w:rFonts w:hint="default" w:ascii="Times New Roman" w:hAnsi="Times New Roman" w:cs="Times New Roman"/>
                      <w:color w:val="auto"/>
                      <w:sz w:val="21"/>
                      <w:szCs w:val="21"/>
                      <w:highlight w:val="none"/>
                      <w:vertAlign w:val="subscript"/>
                    </w:rPr>
                    <w:t>max</w:t>
                  </w:r>
                  <w:r>
                    <w:rPr>
                      <w:rFonts w:hint="default" w:ascii="Times New Roman" w:hAnsi="Times New Roman" w:cs="Times New Roman"/>
                      <w:color w:val="auto"/>
                      <w:sz w:val="21"/>
                      <w:szCs w:val="21"/>
                      <w:highlight w:val="none"/>
                      <w:lang w:eastAsia="zh-CN"/>
                    </w:rPr>
                    <w:t>占标率</w:t>
                  </w:r>
                  <w:r>
                    <w:rPr>
                      <w:rFonts w:hint="default" w:ascii="Times New Roman" w:hAnsi="Times New Roman" w:cs="Times New Roman"/>
                      <w:color w:val="auto"/>
                      <w:sz w:val="21"/>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1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下风向最大质量浓度及占标率</w:t>
                  </w:r>
                  <w:r>
                    <w:rPr>
                      <w:rFonts w:hint="default" w:ascii="Times New Roman" w:hAnsi="Times New Roman" w:cs="Times New Roman"/>
                      <w:color w:val="auto"/>
                      <w:sz w:val="21"/>
                      <w:szCs w:val="21"/>
                      <w:highlight w:val="none"/>
                      <w:lang w:val="en-US" w:eastAsia="zh-CN"/>
                    </w:rPr>
                    <w:t>%</w:t>
                  </w:r>
                </w:p>
              </w:tc>
              <w:tc>
                <w:tcPr>
                  <w:tcW w:w="29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eastAsia="宋体"/>
                      <w:color w:val="auto"/>
                      <w:kern w:val="2"/>
                      <w:sz w:val="21"/>
                      <w:szCs w:val="21"/>
                      <w:highlight w:val="none"/>
                      <w:lang w:val="en-US" w:eastAsia="zh-CN" w:bidi="ar-SA"/>
                    </w:rPr>
                  </w:pPr>
                  <w:r>
                    <w:rPr>
                      <w:rFonts w:hint="eastAsia"/>
                      <w:color w:val="auto"/>
                      <w:kern w:val="2"/>
                      <w:sz w:val="21"/>
                      <w:szCs w:val="21"/>
                      <w:highlight w:val="none"/>
                      <w:lang w:val="en-US" w:eastAsia="zh-CN" w:bidi="ar-SA"/>
                    </w:rPr>
                    <w:t>0.0626</w:t>
                  </w:r>
                </w:p>
              </w:tc>
              <w:tc>
                <w:tcPr>
                  <w:tcW w:w="20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color w:val="auto"/>
                      <w:szCs w:val="21"/>
                      <w:highlight w:val="none"/>
                      <w:lang w:val="en-US" w:eastAsia="zh-CN"/>
                    </w:rPr>
                  </w:pPr>
                  <w:r>
                    <w:rPr>
                      <w:rFonts w:hint="eastAsia"/>
                      <w:color w:val="auto"/>
                      <w:szCs w:val="21"/>
                      <w:highlight w:val="none"/>
                      <w:lang w:val="en-US" w:eastAsia="zh-CN"/>
                    </w:rPr>
                    <w:t>6.96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最大值出现距离（m）</w:t>
                  </w:r>
                </w:p>
              </w:tc>
              <w:tc>
                <w:tcPr>
                  <w:tcW w:w="4987"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color w:val="auto"/>
                      <w:kern w:val="2"/>
                      <w:sz w:val="21"/>
                      <w:szCs w:val="21"/>
                      <w:highlight w:val="none"/>
                      <w:lang w:val="en-US" w:eastAsia="zh-CN" w:bidi="ar-SA"/>
                    </w:rPr>
                  </w:pPr>
                  <w:r>
                    <w:rPr>
                      <w:rFonts w:hint="eastAsia"/>
                      <w:color w:val="auto"/>
                      <w:kern w:val="2"/>
                      <w:sz w:val="21"/>
                      <w:szCs w:val="21"/>
                      <w:highlight w:val="none"/>
                      <w:lang w:val="en-US" w:eastAsia="zh-CN" w:bidi="ar-SA"/>
                    </w:rPr>
                    <w:t>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评价等级</w:t>
                  </w:r>
                </w:p>
              </w:tc>
              <w:tc>
                <w:tcPr>
                  <w:tcW w:w="4987"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二级</w:t>
                  </w:r>
                </w:p>
              </w:tc>
            </w:tr>
          </w:tbl>
          <w:p>
            <w:pPr>
              <w:autoSpaceDE w:val="0"/>
              <w:autoSpaceDN w:val="0"/>
              <w:spacing w:line="480" w:lineRule="exact"/>
              <w:ind w:firstLine="480" w:firstLineChars="200"/>
              <w:jc w:val="left"/>
              <w:rPr>
                <w:color w:val="auto"/>
                <w:sz w:val="24"/>
                <w:highlight w:val="none"/>
              </w:rPr>
            </w:pPr>
            <w:r>
              <w:rPr>
                <w:color w:val="auto"/>
                <w:sz w:val="24"/>
                <w:highlight w:val="none"/>
              </w:rPr>
              <w:t>④评价工作级别划分的依据</w:t>
            </w:r>
          </w:p>
          <w:p>
            <w:pPr>
              <w:autoSpaceDE w:val="0"/>
              <w:autoSpaceDN w:val="0"/>
              <w:spacing w:line="480" w:lineRule="exact"/>
              <w:ind w:firstLine="480" w:firstLineChars="200"/>
              <w:jc w:val="left"/>
              <w:rPr>
                <w:color w:val="auto"/>
                <w:sz w:val="24"/>
                <w:highlight w:val="none"/>
              </w:rPr>
            </w:pPr>
            <w:r>
              <w:rPr>
                <w:color w:val="auto"/>
                <w:sz w:val="24"/>
                <w:highlight w:val="none"/>
              </w:rPr>
              <w:t>根据《环境影响评价技术导则·大气环境》(HJ 2.2-2018)，将大气环境评价工作等级划分情况列于表</w:t>
            </w:r>
            <w:r>
              <w:rPr>
                <w:rFonts w:hint="eastAsia"/>
                <w:color w:val="auto"/>
                <w:sz w:val="24"/>
                <w:highlight w:val="none"/>
              </w:rPr>
              <w:t>2</w:t>
            </w:r>
            <w:r>
              <w:rPr>
                <w:rFonts w:hint="eastAsia"/>
                <w:color w:val="auto"/>
                <w:sz w:val="24"/>
                <w:highlight w:val="none"/>
                <w:lang w:val="en-US" w:eastAsia="zh-CN"/>
              </w:rPr>
              <w:t>4</w:t>
            </w:r>
            <w:r>
              <w:rPr>
                <w:color w:val="auto"/>
                <w:sz w:val="24"/>
                <w:highlight w:val="none"/>
              </w:rPr>
              <w:t>。</w:t>
            </w:r>
          </w:p>
          <w:p>
            <w:pPr>
              <w:spacing w:line="440" w:lineRule="exact"/>
              <w:jc w:val="center"/>
              <w:rPr>
                <w:b/>
                <w:color w:val="auto"/>
                <w:sz w:val="24"/>
                <w:highlight w:val="none"/>
              </w:rPr>
            </w:pPr>
            <w:r>
              <w:rPr>
                <w:b/>
                <w:color w:val="auto"/>
                <w:sz w:val="24"/>
                <w:highlight w:val="none"/>
              </w:rPr>
              <w:t>表</w:t>
            </w:r>
            <w:r>
              <w:rPr>
                <w:rFonts w:hint="eastAsia"/>
                <w:b/>
                <w:color w:val="auto"/>
                <w:sz w:val="24"/>
                <w:highlight w:val="none"/>
              </w:rPr>
              <w:t>2</w:t>
            </w:r>
            <w:r>
              <w:rPr>
                <w:rFonts w:hint="eastAsia"/>
                <w:b/>
                <w:color w:val="auto"/>
                <w:sz w:val="24"/>
                <w:highlight w:val="none"/>
                <w:lang w:val="en-US" w:eastAsia="zh-CN"/>
              </w:rPr>
              <w:t>4</w:t>
            </w:r>
            <w:r>
              <w:rPr>
                <w:b/>
                <w:color w:val="auto"/>
                <w:sz w:val="24"/>
                <w:highlight w:val="none"/>
              </w:rPr>
              <w:t xml:space="preserve">    评价等级判别表</w:t>
            </w:r>
          </w:p>
          <w:tbl>
            <w:tblPr>
              <w:tblStyle w:val="31"/>
              <w:tblW w:w="87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2184"/>
              <w:gridCol w:w="6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3" w:hRule="atLeast"/>
                <w:jc w:val="center"/>
              </w:trPr>
              <w:tc>
                <w:tcPr>
                  <w:tcW w:w="2274" w:type="dxa"/>
                  <w:vAlign w:val="center"/>
                </w:tcPr>
                <w:p>
                  <w:pPr>
                    <w:spacing w:line="0" w:lineRule="atLeast"/>
                    <w:ind w:firstLine="396" w:firstLineChars="200"/>
                    <w:jc w:val="center"/>
                    <w:rPr>
                      <w:color w:val="auto"/>
                      <w:spacing w:val="-6"/>
                      <w:szCs w:val="21"/>
                      <w:highlight w:val="none"/>
                    </w:rPr>
                  </w:pPr>
                  <w:r>
                    <w:rPr>
                      <w:color w:val="auto"/>
                      <w:spacing w:val="-6"/>
                      <w:szCs w:val="21"/>
                      <w:highlight w:val="none"/>
                    </w:rPr>
                    <w:t>评价工作等级</w:t>
                  </w:r>
                </w:p>
              </w:tc>
              <w:tc>
                <w:tcPr>
                  <w:tcW w:w="6881" w:type="dxa"/>
                  <w:vAlign w:val="center"/>
                </w:tcPr>
                <w:p>
                  <w:pPr>
                    <w:spacing w:line="0" w:lineRule="atLeast"/>
                    <w:ind w:firstLine="396" w:firstLineChars="200"/>
                    <w:jc w:val="center"/>
                    <w:rPr>
                      <w:color w:val="auto"/>
                      <w:spacing w:val="-6"/>
                      <w:szCs w:val="21"/>
                      <w:highlight w:val="none"/>
                    </w:rPr>
                  </w:pPr>
                  <w:r>
                    <w:rPr>
                      <w:color w:val="auto"/>
                      <w:spacing w:val="-6"/>
                      <w:szCs w:val="21"/>
                      <w:highlight w:val="none"/>
                    </w:rPr>
                    <w:t>评价工作分级判据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3" w:hRule="atLeast"/>
                <w:jc w:val="center"/>
              </w:trPr>
              <w:tc>
                <w:tcPr>
                  <w:tcW w:w="2274" w:type="dxa"/>
                  <w:vAlign w:val="center"/>
                </w:tcPr>
                <w:p>
                  <w:pPr>
                    <w:spacing w:line="0" w:lineRule="atLeast"/>
                    <w:ind w:firstLine="396" w:firstLineChars="200"/>
                    <w:jc w:val="center"/>
                    <w:rPr>
                      <w:color w:val="auto"/>
                      <w:spacing w:val="-6"/>
                      <w:szCs w:val="21"/>
                      <w:highlight w:val="none"/>
                    </w:rPr>
                  </w:pPr>
                  <w:r>
                    <w:rPr>
                      <w:color w:val="auto"/>
                      <w:spacing w:val="-6"/>
                      <w:szCs w:val="21"/>
                      <w:highlight w:val="none"/>
                    </w:rPr>
                    <w:t>一级</w:t>
                  </w:r>
                </w:p>
              </w:tc>
              <w:tc>
                <w:tcPr>
                  <w:tcW w:w="6881" w:type="dxa"/>
                  <w:vAlign w:val="center"/>
                </w:tcPr>
                <w:p>
                  <w:pPr>
                    <w:spacing w:line="0" w:lineRule="atLeast"/>
                    <w:ind w:firstLine="396" w:firstLineChars="200"/>
                    <w:jc w:val="center"/>
                    <w:rPr>
                      <w:color w:val="auto"/>
                      <w:spacing w:val="-6"/>
                      <w:szCs w:val="21"/>
                      <w:highlight w:val="none"/>
                    </w:rPr>
                  </w:pPr>
                  <w:r>
                    <w:rPr>
                      <w:color w:val="auto"/>
                      <w:spacing w:val="-6"/>
                      <w:szCs w:val="21"/>
                      <w:highlight w:val="none"/>
                    </w:rPr>
                    <w:t>P</w:t>
                  </w:r>
                  <w:r>
                    <w:rPr>
                      <w:color w:val="auto"/>
                      <w:spacing w:val="-6"/>
                      <w:szCs w:val="21"/>
                      <w:highlight w:val="none"/>
                      <w:vertAlign w:val="subscript"/>
                    </w:rPr>
                    <w:t>max</w:t>
                  </w:r>
                  <w:r>
                    <w:rPr>
                      <w:color w:val="auto"/>
                      <w:spacing w:val="-6"/>
                      <w:szCs w:val="21"/>
                      <w:highlight w:val="none"/>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3" w:hRule="atLeast"/>
                <w:jc w:val="center"/>
              </w:trPr>
              <w:tc>
                <w:tcPr>
                  <w:tcW w:w="2274" w:type="dxa"/>
                  <w:vAlign w:val="center"/>
                </w:tcPr>
                <w:p>
                  <w:pPr>
                    <w:spacing w:line="0" w:lineRule="atLeast"/>
                    <w:ind w:firstLine="396" w:firstLineChars="200"/>
                    <w:jc w:val="center"/>
                    <w:rPr>
                      <w:color w:val="auto"/>
                      <w:spacing w:val="-6"/>
                      <w:szCs w:val="21"/>
                      <w:highlight w:val="none"/>
                    </w:rPr>
                  </w:pPr>
                  <w:r>
                    <w:rPr>
                      <w:color w:val="auto"/>
                      <w:spacing w:val="-6"/>
                      <w:szCs w:val="21"/>
                      <w:highlight w:val="none"/>
                    </w:rPr>
                    <w:t>二级</w:t>
                  </w:r>
                </w:p>
              </w:tc>
              <w:tc>
                <w:tcPr>
                  <w:tcW w:w="6881" w:type="dxa"/>
                  <w:vAlign w:val="center"/>
                </w:tcPr>
                <w:p>
                  <w:pPr>
                    <w:spacing w:line="0" w:lineRule="atLeast"/>
                    <w:ind w:firstLine="396" w:firstLineChars="200"/>
                    <w:jc w:val="center"/>
                    <w:rPr>
                      <w:color w:val="auto"/>
                      <w:spacing w:val="-6"/>
                      <w:szCs w:val="21"/>
                      <w:highlight w:val="none"/>
                    </w:rPr>
                  </w:pPr>
                  <w:r>
                    <w:rPr>
                      <w:color w:val="auto"/>
                      <w:spacing w:val="-6"/>
                      <w:szCs w:val="21"/>
                      <w:highlight w:val="none"/>
                    </w:rPr>
                    <w:t>1%≤P</w:t>
                  </w:r>
                  <w:r>
                    <w:rPr>
                      <w:color w:val="auto"/>
                      <w:spacing w:val="-6"/>
                      <w:szCs w:val="21"/>
                      <w:highlight w:val="none"/>
                      <w:vertAlign w:val="subscript"/>
                    </w:rPr>
                    <w:t>max</w:t>
                  </w:r>
                  <w:r>
                    <w:rPr>
                      <w:color w:val="auto"/>
                      <w:spacing w:val="-6"/>
                      <w:szCs w:val="21"/>
                      <w:highlight w:val="none"/>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3" w:hRule="atLeast"/>
                <w:jc w:val="center"/>
              </w:trPr>
              <w:tc>
                <w:tcPr>
                  <w:tcW w:w="2274" w:type="dxa"/>
                  <w:vAlign w:val="center"/>
                </w:tcPr>
                <w:p>
                  <w:pPr>
                    <w:spacing w:line="0" w:lineRule="atLeast"/>
                    <w:ind w:firstLine="396" w:firstLineChars="200"/>
                    <w:jc w:val="center"/>
                    <w:rPr>
                      <w:color w:val="auto"/>
                      <w:spacing w:val="-6"/>
                      <w:szCs w:val="21"/>
                      <w:highlight w:val="none"/>
                    </w:rPr>
                  </w:pPr>
                  <w:r>
                    <w:rPr>
                      <w:color w:val="auto"/>
                      <w:spacing w:val="-6"/>
                      <w:szCs w:val="21"/>
                      <w:highlight w:val="none"/>
                    </w:rPr>
                    <w:t>三级</w:t>
                  </w:r>
                </w:p>
              </w:tc>
              <w:tc>
                <w:tcPr>
                  <w:tcW w:w="6881" w:type="dxa"/>
                  <w:vAlign w:val="center"/>
                </w:tcPr>
                <w:p>
                  <w:pPr>
                    <w:spacing w:line="0" w:lineRule="atLeast"/>
                    <w:ind w:firstLine="396" w:firstLineChars="200"/>
                    <w:jc w:val="center"/>
                    <w:rPr>
                      <w:color w:val="auto"/>
                      <w:spacing w:val="-6"/>
                      <w:szCs w:val="21"/>
                      <w:highlight w:val="none"/>
                    </w:rPr>
                  </w:pPr>
                  <w:r>
                    <w:rPr>
                      <w:color w:val="auto"/>
                      <w:spacing w:val="-6"/>
                      <w:szCs w:val="21"/>
                      <w:highlight w:val="none"/>
                    </w:rPr>
                    <w:t>P</w:t>
                  </w:r>
                  <w:r>
                    <w:rPr>
                      <w:color w:val="auto"/>
                      <w:spacing w:val="-6"/>
                      <w:szCs w:val="21"/>
                      <w:highlight w:val="none"/>
                      <w:vertAlign w:val="subscript"/>
                    </w:rPr>
                    <w:t>max</w:t>
                  </w:r>
                  <w:r>
                    <w:rPr>
                      <w:color w:val="auto"/>
                      <w:spacing w:val="-6"/>
                      <w:szCs w:val="21"/>
                      <w:highlight w:val="none"/>
                    </w:rPr>
                    <w:t>＜1%</w:t>
                  </w:r>
                </w:p>
              </w:tc>
            </w:tr>
          </w:tbl>
          <w:p>
            <w:pPr>
              <w:autoSpaceDE w:val="0"/>
              <w:autoSpaceDN w:val="0"/>
              <w:spacing w:line="480" w:lineRule="exact"/>
              <w:ind w:left="420" w:leftChars="200"/>
              <w:jc w:val="left"/>
              <w:rPr>
                <w:color w:val="auto"/>
                <w:sz w:val="24"/>
                <w:highlight w:val="none"/>
              </w:rPr>
            </w:pPr>
            <w:r>
              <w:rPr>
                <w:color w:val="auto"/>
                <w:sz w:val="24"/>
                <w:highlight w:val="none"/>
              </w:rPr>
              <w:t>⑤评价工作级别确定</w:t>
            </w:r>
          </w:p>
          <w:p>
            <w:pPr>
              <w:autoSpaceDE w:val="0"/>
              <w:autoSpaceDN w:val="0"/>
              <w:spacing w:line="480" w:lineRule="exact"/>
              <w:ind w:firstLine="480" w:firstLineChars="200"/>
              <w:jc w:val="left"/>
              <w:rPr>
                <w:color w:val="auto"/>
                <w:sz w:val="24"/>
                <w:highlight w:val="none"/>
              </w:rPr>
            </w:pPr>
            <w:r>
              <w:rPr>
                <w:color w:val="auto"/>
                <w:sz w:val="24"/>
                <w:highlight w:val="none"/>
              </w:rPr>
              <w:t>综合以上分析，本项目大气环境影响评价工作等级确定为</w:t>
            </w:r>
            <w:r>
              <w:rPr>
                <w:rFonts w:hint="eastAsia"/>
                <w:color w:val="auto"/>
                <w:sz w:val="24"/>
                <w:highlight w:val="none"/>
                <w:lang w:eastAsia="zh-CN"/>
              </w:rPr>
              <w:t>二</w:t>
            </w:r>
            <w:r>
              <w:rPr>
                <w:color w:val="auto"/>
                <w:sz w:val="24"/>
                <w:highlight w:val="none"/>
              </w:rPr>
              <w:t>级，不进行进一步预测与评价，只对污染物排放量进行核算。</w:t>
            </w:r>
          </w:p>
          <w:p>
            <w:pPr>
              <w:numPr>
                <w:ilvl w:val="0"/>
                <w:numId w:val="6"/>
              </w:numPr>
              <w:adjustRightInd w:val="0"/>
              <w:snapToGrid w:val="0"/>
              <w:spacing w:line="480" w:lineRule="exact"/>
              <w:ind w:left="0" w:leftChars="0" w:firstLine="480" w:firstLineChars="200"/>
              <w:jc w:val="left"/>
              <w:rPr>
                <w:color w:val="auto"/>
                <w:sz w:val="24"/>
                <w:highlight w:val="none"/>
              </w:rPr>
            </w:pPr>
            <w:r>
              <w:rPr>
                <w:color w:val="auto"/>
                <w:sz w:val="24"/>
                <w:highlight w:val="none"/>
              </w:rPr>
              <w:t>污染物排放量核算</w:t>
            </w:r>
          </w:p>
          <w:p>
            <w:pPr>
              <w:pStyle w:val="7"/>
              <w:numPr>
                <w:ilvl w:val="0"/>
                <w:numId w:val="0"/>
              </w:numPr>
              <w:ind w:leftChars="200"/>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（1）正常工况</w:t>
            </w:r>
          </w:p>
          <w:p>
            <w:pPr>
              <w:pStyle w:val="22"/>
              <w:spacing w:line="480" w:lineRule="exact"/>
              <w:jc w:val="center"/>
              <w:rPr>
                <w:rFonts w:eastAsia="黑体"/>
                <w:color w:val="auto"/>
                <w:kern w:val="0"/>
                <w:sz w:val="24"/>
                <w:szCs w:val="22"/>
                <w:highlight w:val="none"/>
              </w:rPr>
            </w:pPr>
            <w:r>
              <w:rPr>
                <w:rFonts w:hint="eastAsia" w:eastAsia="黑体"/>
                <w:color w:val="auto"/>
                <w:kern w:val="0"/>
                <w:sz w:val="24"/>
                <w:szCs w:val="22"/>
                <w:highlight w:val="none"/>
              </w:rPr>
              <w:t>表</w:t>
            </w:r>
            <w:r>
              <w:rPr>
                <w:rFonts w:hint="eastAsia" w:eastAsia="黑体"/>
                <w:color w:val="auto"/>
                <w:kern w:val="0"/>
                <w:sz w:val="24"/>
                <w:szCs w:val="22"/>
                <w:highlight w:val="none"/>
                <w:lang w:val="en-US" w:eastAsia="zh-CN"/>
              </w:rPr>
              <w:t>25</w:t>
            </w:r>
            <w:r>
              <w:rPr>
                <w:rFonts w:hint="eastAsia" w:eastAsia="黑体"/>
                <w:color w:val="auto"/>
                <w:kern w:val="0"/>
                <w:sz w:val="24"/>
                <w:szCs w:val="22"/>
                <w:highlight w:val="none"/>
              </w:rPr>
              <w:t xml:space="preserve">   </w:t>
            </w:r>
            <w:r>
              <w:rPr>
                <w:rFonts w:eastAsia="黑体"/>
                <w:color w:val="auto"/>
                <w:kern w:val="0"/>
                <w:sz w:val="24"/>
                <w:szCs w:val="22"/>
                <w:highlight w:val="none"/>
              </w:rPr>
              <w:t>有组织排放量核算</w:t>
            </w:r>
            <w:r>
              <w:rPr>
                <w:rFonts w:hint="eastAsia" w:eastAsia="黑体"/>
                <w:color w:val="auto"/>
                <w:kern w:val="0"/>
                <w:sz w:val="24"/>
                <w:szCs w:val="22"/>
                <w:highlight w:val="none"/>
              </w:rPr>
              <w:t>表</w:t>
            </w:r>
          </w:p>
          <w:tbl>
            <w:tblPr>
              <w:tblStyle w:val="31"/>
              <w:tblW w:w="479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9"/>
              <w:gridCol w:w="968"/>
              <w:gridCol w:w="2118"/>
              <w:gridCol w:w="1483"/>
              <w:gridCol w:w="1793"/>
              <w:gridCol w:w="149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8" w:type="pct"/>
                  <w:noWrap w:val="0"/>
                  <w:vAlign w:val="center"/>
                </w:tcPr>
                <w:p>
                  <w:pPr>
                    <w:spacing w:line="0" w:lineRule="atLeast"/>
                    <w:jc w:val="center"/>
                    <w:rPr>
                      <w:color w:val="auto"/>
                      <w:szCs w:val="21"/>
                      <w:highlight w:val="none"/>
                    </w:rPr>
                  </w:pPr>
                  <w:r>
                    <w:rPr>
                      <w:rFonts w:hint="eastAsia"/>
                      <w:color w:val="auto"/>
                      <w:szCs w:val="21"/>
                      <w:highlight w:val="none"/>
                    </w:rPr>
                    <w:t>序号</w:t>
                  </w:r>
                </w:p>
              </w:tc>
              <w:tc>
                <w:tcPr>
                  <w:tcW w:w="550" w:type="pct"/>
                  <w:noWrap w:val="0"/>
                  <w:vAlign w:val="center"/>
                </w:tcPr>
                <w:p>
                  <w:pPr>
                    <w:spacing w:line="0" w:lineRule="atLeast"/>
                    <w:jc w:val="center"/>
                    <w:rPr>
                      <w:color w:val="auto"/>
                      <w:szCs w:val="21"/>
                      <w:highlight w:val="none"/>
                    </w:rPr>
                  </w:pPr>
                  <w:r>
                    <w:rPr>
                      <w:rFonts w:hint="eastAsia"/>
                      <w:color w:val="auto"/>
                      <w:szCs w:val="21"/>
                      <w:highlight w:val="none"/>
                    </w:rPr>
                    <w:t>排放口编号</w:t>
                  </w:r>
                </w:p>
              </w:tc>
              <w:tc>
                <w:tcPr>
                  <w:tcW w:w="1205" w:type="pct"/>
                  <w:noWrap w:val="0"/>
                  <w:vAlign w:val="center"/>
                </w:tcPr>
                <w:p>
                  <w:pPr>
                    <w:spacing w:line="0" w:lineRule="atLeast"/>
                    <w:jc w:val="center"/>
                    <w:rPr>
                      <w:color w:val="auto"/>
                      <w:szCs w:val="21"/>
                      <w:highlight w:val="none"/>
                    </w:rPr>
                  </w:pPr>
                  <w:r>
                    <w:rPr>
                      <w:rFonts w:hint="eastAsia"/>
                      <w:color w:val="auto"/>
                      <w:szCs w:val="21"/>
                      <w:highlight w:val="none"/>
                    </w:rPr>
                    <w:t>污染物</w:t>
                  </w:r>
                </w:p>
              </w:tc>
              <w:tc>
                <w:tcPr>
                  <w:tcW w:w="843" w:type="pct"/>
                  <w:noWrap w:val="0"/>
                  <w:vAlign w:val="center"/>
                </w:tcPr>
                <w:p>
                  <w:pPr>
                    <w:spacing w:line="0" w:lineRule="atLeast"/>
                    <w:jc w:val="center"/>
                    <w:rPr>
                      <w:color w:val="auto"/>
                      <w:szCs w:val="21"/>
                      <w:highlight w:val="none"/>
                    </w:rPr>
                  </w:pPr>
                  <w:r>
                    <w:rPr>
                      <w:rFonts w:hint="eastAsia"/>
                      <w:color w:val="auto"/>
                      <w:szCs w:val="21"/>
                      <w:highlight w:val="none"/>
                    </w:rPr>
                    <w:t>核算排放浓度/（mg/m</w:t>
                  </w:r>
                  <w:r>
                    <w:rPr>
                      <w:rFonts w:hint="eastAsia"/>
                      <w:color w:val="auto"/>
                      <w:szCs w:val="21"/>
                      <w:highlight w:val="none"/>
                      <w:vertAlign w:val="superscript"/>
                    </w:rPr>
                    <w:t>3</w:t>
                  </w:r>
                  <w:r>
                    <w:rPr>
                      <w:rFonts w:hint="eastAsia"/>
                      <w:color w:val="auto"/>
                      <w:szCs w:val="21"/>
                      <w:highlight w:val="none"/>
                    </w:rPr>
                    <w:t>）</w:t>
                  </w:r>
                </w:p>
              </w:tc>
              <w:tc>
                <w:tcPr>
                  <w:tcW w:w="1020" w:type="pct"/>
                  <w:noWrap w:val="0"/>
                  <w:vAlign w:val="center"/>
                </w:tcPr>
                <w:p>
                  <w:pPr>
                    <w:spacing w:line="0" w:lineRule="atLeast"/>
                    <w:jc w:val="center"/>
                    <w:rPr>
                      <w:color w:val="auto"/>
                      <w:szCs w:val="21"/>
                      <w:highlight w:val="none"/>
                    </w:rPr>
                  </w:pPr>
                  <w:r>
                    <w:rPr>
                      <w:rFonts w:hint="eastAsia"/>
                      <w:color w:val="auto"/>
                      <w:szCs w:val="21"/>
                      <w:highlight w:val="none"/>
                    </w:rPr>
                    <w:t>核算排放速率/（kg/h）</w:t>
                  </w:r>
                </w:p>
              </w:tc>
              <w:tc>
                <w:tcPr>
                  <w:tcW w:w="851" w:type="pct"/>
                  <w:noWrap w:val="0"/>
                  <w:vAlign w:val="center"/>
                </w:tcPr>
                <w:p>
                  <w:pPr>
                    <w:spacing w:line="0" w:lineRule="atLeast"/>
                    <w:jc w:val="center"/>
                    <w:rPr>
                      <w:color w:val="auto"/>
                      <w:szCs w:val="21"/>
                      <w:highlight w:val="none"/>
                    </w:rPr>
                  </w:pPr>
                  <w:r>
                    <w:rPr>
                      <w:rFonts w:hint="eastAsia"/>
                      <w:color w:val="auto"/>
                      <w:szCs w:val="21"/>
                      <w:highlight w:val="none"/>
                    </w:rPr>
                    <w:t>核算年排放量/（t/a）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6"/>
                  <w:noWrap w:val="0"/>
                  <w:vAlign w:val="center"/>
                </w:tcPr>
                <w:p>
                  <w:pPr>
                    <w:spacing w:line="0" w:lineRule="atLeast"/>
                    <w:jc w:val="center"/>
                    <w:rPr>
                      <w:color w:val="auto"/>
                      <w:szCs w:val="21"/>
                      <w:highlight w:val="none"/>
                    </w:rPr>
                  </w:pPr>
                  <w:r>
                    <w:rPr>
                      <w:rFonts w:hint="eastAsia"/>
                      <w:color w:val="auto"/>
                      <w:szCs w:val="21"/>
                      <w:highlight w:val="none"/>
                    </w:rPr>
                    <w:t>一般排放口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8" w:type="pct"/>
                  <w:noWrap w:val="0"/>
                  <w:vAlign w:val="center"/>
                </w:tcPr>
                <w:p>
                  <w:pPr>
                    <w:spacing w:line="0" w:lineRule="atLeast"/>
                    <w:jc w:val="center"/>
                    <w:rPr>
                      <w:color w:val="auto"/>
                      <w:szCs w:val="21"/>
                      <w:highlight w:val="none"/>
                    </w:rPr>
                  </w:pPr>
                  <w:r>
                    <w:rPr>
                      <w:rFonts w:hint="eastAsia"/>
                      <w:color w:val="auto"/>
                      <w:szCs w:val="21"/>
                      <w:highlight w:val="none"/>
                    </w:rPr>
                    <w:t>1</w:t>
                  </w:r>
                </w:p>
              </w:tc>
              <w:tc>
                <w:tcPr>
                  <w:tcW w:w="550" w:type="pct"/>
                  <w:tcBorders>
                    <w:bottom w:val="single" w:color="auto" w:sz="4" w:space="0"/>
                  </w:tcBorders>
                  <w:noWrap w:val="0"/>
                  <w:vAlign w:val="center"/>
                </w:tcPr>
                <w:p>
                  <w:pPr>
                    <w:spacing w:line="0" w:lineRule="atLeast"/>
                    <w:jc w:val="center"/>
                    <w:rPr>
                      <w:color w:val="auto"/>
                      <w:szCs w:val="21"/>
                      <w:highlight w:val="none"/>
                    </w:rPr>
                  </w:pPr>
                  <w:r>
                    <w:rPr>
                      <w:rFonts w:hint="eastAsia"/>
                      <w:color w:val="auto"/>
                      <w:szCs w:val="21"/>
                      <w:highlight w:val="none"/>
                    </w:rPr>
                    <w:t>P1</w:t>
                  </w:r>
                </w:p>
              </w:tc>
              <w:tc>
                <w:tcPr>
                  <w:tcW w:w="1205" w:type="pct"/>
                  <w:tcBorders>
                    <w:bottom w:val="single" w:color="auto" w:sz="4" w:space="0"/>
                  </w:tcBorders>
                  <w:noWrap w:val="0"/>
                  <w:vAlign w:val="center"/>
                </w:tcPr>
                <w:p>
                  <w:pPr>
                    <w:spacing w:line="0" w:lineRule="atLeast"/>
                    <w:jc w:val="center"/>
                    <w:rPr>
                      <w:color w:val="auto"/>
                      <w:szCs w:val="21"/>
                      <w:highlight w:val="none"/>
                    </w:rPr>
                  </w:pPr>
                  <w:r>
                    <w:rPr>
                      <w:rFonts w:hint="eastAsia"/>
                      <w:color w:val="auto"/>
                      <w:szCs w:val="21"/>
                      <w:highlight w:val="none"/>
                    </w:rPr>
                    <w:t>颗粒物</w:t>
                  </w:r>
                </w:p>
              </w:tc>
              <w:tc>
                <w:tcPr>
                  <w:tcW w:w="843" w:type="pct"/>
                  <w:noWrap w:val="0"/>
                  <w:vAlign w:val="center"/>
                </w:tcPr>
                <w:p>
                  <w:pPr>
                    <w:widowControl/>
                    <w:spacing w:line="0" w:lineRule="atLeast"/>
                    <w:jc w:val="center"/>
                    <w:rPr>
                      <w:rFonts w:hint="default" w:eastAsia="宋体"/>
                      <w:color w:val="auto"/>
                      <w:szCs w:val="21"/>
                      <w:highlight w:val="none"/>
                      <w:lang w:val="en-US" w:eastAsia="zh-CN"/>
                    </w:rPr>
                  </w:pPr>
                  <w:r>
                    <w:rPr>
                      <w:rFonts w:hint="eastAsia"/>
                      <w:color w:val="auto"/>
                      <w:szCs w:val="21"/>
                      <w:highlight w:val="none"/>
                      <w:lang w:val="en-US" w:eastAsia="zh-CN"/>
                    </w:rPr>
                    <w:t>2.8</w:t>
                  </w:r>
                </w:p>
              </w:tc>
              <w:tc>
                <w:tcPr>
                  <w:tcW w:w="1020" w:type="pct"/>
                  <w:noWrap w:val="0"/>
                  <w:vAlign w:val="center"/>
                </w:tcPr>
                <w:p>
                  <w:pPr>
                    <w:spacing w:line="0" w:lineRule="atLeast"/>
                    <w:jc w:val="center"/>
                    <w:rPr>
                      <w:rFonts w:hint="default" w:eastAsia="宋体"/>
                      <w:color w:val="auto"/>
                      <w:szCs w:val="21"/>
                      <w:highlight w:val="none"/>
                      <w:lang w:val="en-US" w:eastAsia="zh-CN"/>
                    </w:rPr>
                  </w:pPr>
                  <w:r>
                    <w:rPr>
                      <w:rFonts w:hint="eastAsia"/>
                      <w:color w:val="auto"/>
                      <w:szCs w:val="21"/>
                      <w:highlight w:val="none"/>
                      <w:lang w:val="en-US" w:eastAsia="zh-CN"/>
                    </w:rPr>
                    <w:t>0.0112</w:t>
                  </w:r>
                </w:p>
              </w:tc>
              <w:tc>
                <w:tcPr>
                  <w:tcW w:w="851" w:type="pct"/>
                  <w:noWrap w:val="0"/>
                  <w:vAlign w:val="center"/>
                </w:tcPr>
                <w:p>
                  <w:pPr>
                    <w:spacing w:line="0" w:lineRule="atLeast"/>
                    <w:jc w:val="center"/>
                    <w:rPr>
                      <w:rFonts w:hint="default" w:eastAsia="宋体"/>
                      <w:color w:val="auto"/>
                      <w:szCs w:val="21"/>
                      <w:highlight w:val="none"/>
                      <w:lang w:val="en-US" w:eastAsia="zh-CN"/>
                    </w:rPr>
                  </w:pPr>
                  <w:r>
                    <w:rPr>
                      <w:rFonts w:hint="eastAsia"/>
                      <w:color w:val="auto"/>
                      <w:szCs w:val="21"/>
                      <w:highlight w:val="none"/>
                      <w:lang w:val="en-US" w:eastAsia="zh-CN"/>
                    </w:rPr>
                    <w:t>0.00224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8" w:type="pct"/>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550" w:type="pct"/>
                  <w:tcBorders>
                    <w:bottom w:val="single" w:color="auto" w:sz="4" w:space="0"/>
                  </w:tcBorders>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P</w:t>
                  </w:r>
                  <w:r>
                    <w:rPr>
                      <w:rFonts w:hint="eastAsia"/>
                      <w:color w:val="auto"/>
                      <w:szCs w:val="21"/>
                      <w:highlight w:val="none"/>
                      <w:lang w:val="en-US" w:eastAsia="zh-CN"/>
                    </w:rPr>
                    <w:t>2</w:t>
                  </w:r>
                </w:p>
              </w:tc>
              <w:tc>
                <w:tcPr>
                  <w:tcW w:w="1205" w:type="pct"/>
                  <w:tcBorders>
                    <w:bottom w:val="single" w:color="auto" w:sz="4" w:space="0"/>
                  </w:tcBorders>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颗粒物</w:t>
                  </w:r>
                </w:p>
              </w:tc>
              <w:tc>
                <w:tcPr>
                  <w:tcW w:w="843" w:type="pct"/>
                  <w:noWrap w:val="0"/>
                  <w:vAlign w:val="center"/>
                </w:tcPr>
                <w:p>
                  <w:pPr>
                    <w:widowControl/>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1.5</w:t>
                  </w:r>
                </w:p>
              </w:tc>
              <w:tc>
                <w:tcPr>
                  <w:tcW w:w="1020" w:type="pct"/>
                  <w:noWrap w:val="0"/>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0.0045</w:t>
                  </w:r>
                </w:p>
              </w:tc>
              <w:tc>
                <w:tcPr>
                  <w:tcW w:w="851" w:type="pct"/>
                  <w:noWrap w:val="0"/>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0.0009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pct"/>
                  <w:gridSpan w:val="2"/>
                  <w:noWrap w:val="0"/>
                  <w:vAlign w:val="center"/>
                </w:tcPr>
                <w:p>
                  <w:pPr>
                    <w:spacing w:line="0" w:lineRule="atLeast"/>
                    <w:jc w:val="center"/>
                    <w:rPr>
                      <w:color w:val="auto"/>
                      <w:szCs w:val="21"/>
                      <w:highlight w:val="none"/>
                    </w:rPr>
                  </w:pPr>
                  <w:r>
                    <w:rPr>
                      <w:rFonts w:hint="eastAsia"/>
                      <w:color w:val="auto"/>
                      <w:szCs w:val="21"/>
                      <w:highlight w:val="none"/>
                    </w:rPr>
                    <w:t>一般排放口合计</w:t>
                  </w:r>
                </w:p>
              </w:tc>
              <w:tc>
                <w:tcPr>
                  <w:tcW w:w="3069" w:type="pct"/>
                  <w:gridSpan w:val="3"/>
                  <w:noWrap w:val="0"/>
                  <w:vAlign w:val="center"/>
                </w:tcPr>
                <w:p>
                  <w:pPr>
                    <w:spacing w:line="0" w:lineRule="atLeast"/>
                    <w:jc w:val="center"/>
                    <w:rPr>
                      <w:color w:val="auto"/>
                      <w:szCs w:val="21"/>
                      <w:highlight w:val="none"/>
                    </w:rPr>
                  </w:pPr>
                  <w:r>
                    <w:rPr>
                      <w:rFonts w:hint="eastAsia"/>
                      <w:color w:val="auto"/>
                      <w:szCs w:val="21"/>
                      <w:highlight w:val="none"/>
                    </w:rPr>
                    <w:t>颗粒物</w:t>
                  </w:r>
                </w:p>
              </w:tc>
              <w:tc>
                <w:tcPr>
                  <w:tcW w:w="851" w:type="pct"/>
                  <w:noWrap w:val="0"/>
                  <w:vAlign w:val="center"/>
                </w:tcPr>
                <w:p>
                  <w:pPr>
                    <w:spacing w:line="0" w:lineRule="atLeast"/>
                    <w:jc w:val="center"/>
                    <w:rPr>
                      <w:rFonts w:hint="default" w:eastAsia="宋体"/>
                      <w:color w:val="auto"/>
                      <w:szCs w:val="21"/>
                      <w:highlight w:val="none"/>
                      <w:lang w:val="en-US" w:eastAsia="zh-CN"/>
                    </w:rPr>
                  </w:pPr>
                  <w:r>
                    <w:rPr>
                      <w:rFonts w:hint="eastAsia"/>
                      <w:color w:val="auto"/>
                      <w:szCs w:val="21"/>
                      <w:highlight w:val="none"/>
                      <w:lang w:val="en-US" w:eastAsia="zh-CN"/>
                    </w:rPr>
                    <w:t>0.00314</w:t>
                  </w:r>
                </w:p>
              </w:tc>
            </w:tr>
          </w:tbl>
          <w:p>
            <w:pPr>
              <w:spacing w:line="440" w:lineRule="exact"/>
              <w:jc w:val="center"/>
              <w:rPr>
                <w:b/>
                <w:color w:val="auto"/>
                <w:sz w:val="24"/>
                <w:highlight w:val="none"/>
              </w:rPr>
            </w:pPr>
            <w:r>
              <w:rPr>
                <w:b/>
                <w:color w:val="auto"/>
                <w:sz w:val="24"/>
                <w:highlight w:val="none"/>
              </w:rPr>
              <w:t>表</w:t>
            </w:r>
            <w:r>
              <w:rPr>
                <w:rFonts w:hint="eastAsia"/>
                <w:b/>
                <w:color w:val="auto"/>
                <w:sz w:val="24"/>
                <w:highlight w:val="none"/>
              </w:rPr>
              <w:t>2</w:t>
            </w:r>
            <w:r>
              <w:rPr>
                <w:rFonts w:hint="eastAsia"/>
                <w:b/>
                <w:color w:val="auto"/>
                <w:sz w:val="24"/>
                <w:highlight w:val="none"/>
                <w:lang w:val="en-US" w:eastAsia="zh-CN"/>
              </w:rPr>
              <w:t>6</w:t>
            </w:r>
            <w:r>
              <w:rPr>
                <w:rFonts w:hint="eastAsia"/>
                <w:b/>
                <w:color w:val="auto"/>
                <w:sz w:val="24"/>
                <w:highlight w:val="none"/>
              </w:rPr>
              <w:t xml:space="preserve">    </w:t>
            </w:r>
            <w:r>
              <w:rPr>
                <w:b/>
                <w:color w:val="auto"/>
                <w:sz w:val="24"/>
                <w:highlight w:val="none"/>
              </w:rPr>
              <w:t>大气污染物无组织排放量核算表</w:t>
            </w:r>
          </w:p>
          <w:tbl>
            <w:tblPr>
              <w:tblStyle w:val="31"/>
              <w:tblW w:w="87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14"/>
              <w:gridCol w:w="663"/>
              <w:gridCol w:w="1448"/>
              <w:gridCol w:w="832"/>
              <w:gridCol w:w="1185"/>
              <w:gridCol w:w="1943"/>
              <w:gridCol w:w="1233"/>
              <w:gridCol w:w="96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514" w:type="dxa"/>
                  <w:vMerge w:val="restart"/>
                  <w:vAlign w:val="center"/>
                </w:tcPr>
                <w:p>
                  <w:pPr>
                    <w:spacing w:line="0" w:lineRule="atLeast"/>
                    <w:jc w:val="center"/>
                    <w:rPr>
                      <w:color w:val="auto"/>
                      <w:szCs w:val="21"/>
                      <w:highlight w:val="none"/>
                    </w:rPr>
                  </w:pPr>
                  <w:r>
                    <w:rPr>
                      <w:color w:val="auto"/>
                      <w:szCs w:val="21"/>
                      <w:highlight w:val="none"/>
                    </w:rPr>
                    <w:t>序号</w:t>
                  </w:r>
                </w:p>
              </w:tc>
              <w:tc>
                <w:tcPr>
                  <w:tcW w:w="663" w:type="dxa"/>
                  <w:vMerge w:val="restart"/>
                  <w:vAlign w:val="center"/>
                </w:tcPr>
                <w:p>
                  <w:pPr>
                    <w:spacing w:line="0" w:lineRule="atLeast"/>
                    <w:jc w:val="center"/>
                    <w:rPr>
                      <w:color w:val="auto"/>
                      <w:szCs w:val="21"/>
                      <w:highlight w:val="none"/>
                    </w:rPr>
                  </w:pPr>
                  <w:r>
                    <w:rPr>
                      <w:color w:val="auto"/>
                      <w:szCs w:val="21"/>
                      <w:highlight w:val="none"/>
                    </w:rPr>
                    <w:t>排放口编号</w:t>
                  </w:r>
                </w:p>
              </w:tc>
              <w:tc>
                <w:tcPr>
                  <w:tcW w:w="1448" w:type="dxa"/>
                  <w:vMerge w:val="restart"/>
                  <w:vAlign w:val="center"/>
                </w:tcPr>
                <w:p>
                  <w:pPr>
                    <w:spacing w:line="0" w:lineRule="atLeast"/>
                    <w:jc w:val="center"/>
                    <w:rPr>
                      <w:color w:val="auto"/>
                      <w:szCs w:val="21"/>
                      <w:highlight w:val="none"/>
                    </w:rPr>
                  </w:pPr>
                  <w:r>
                    <w:rPr>
                      <w:color w:val="auto"/>
                      <w:szCs w:val="21"/>
                      <w:highlight w:val="none"/>
                    </w:rPr>
                    <w:t>产污环节</w:t>
                  </w:r>
                </w:p>
              </w:tc>
              <w:tc>
                <w:tcPr>
                  <w:tcW w:w="832" w:type="dxa"/>
                  <w:vMerge w:val="restart"/>
                  <w:vAlign w:val="center"/>
                </w:tcPr>
                <w:p>
                  <w:pPr>
                    <w:spacing w:line="0" w:lineRule="atLeast"/>
                    <w:jc w:val="center"/>
                    <w:rPr>
                      <w:color w:val="auto"/>
                      <w:szCs w:val="21"/>
                      <w:highlight w:val="none"/>
                    </w:rPr>
                  </w:pPr>
                  <w:r>
                    <w:rPr>
                      <w:color w:val="auto"/>
                      <w:szCs w:val="21"/>
                      <w:highlight w:val="none"/>
                    </w:rPr>
                    <w:t>污染物</w:t>
                  </w:r>
                </w:p>
              </w:tc>
              <w:tc>
                <w:tcPr>
                  <w:tcW w:w="1185" w:type="dxa"/>
                  <w:vMerge w:val="restart"/>
                  <w:vAlign w:val="center"/>
                </w:tcPr>
                <w:p>
                  <w:pPr>
                    <w:spacing w:line="0" w:lineRule="atLeast"/>
                    <w:jc w:val="center"/>
                    <w:rPr>
                      <w:color w:val="auto"/>
                      <w:szCs w:val="21"/>
                      <w:highlight w:val="none"/>
                    </w:rPr>
                  </w:pPr>
                  <w:r>
                    <w:rPr>
                      <w:color w:val="auto"/>
                      <w:szCs w:val="21"/>
                      <w:highlight w:val="none"/>
                    </w:rPr>
                    <w:t>主要污染防治措施</w:t>
                  </w:r>
                </w:p>
              </w:tc>
              <w:tc>
                <w:tcPr>
                  <w:tcW w:w="3176" w:type="dxa"/>
                  <w:gridSpan w:val="2"/>
                  <w:vAlign w:val="center"/>
                </w:tcPr>
                <w:p>
                  <w:pPr>
                    <w:spacing w:line="0" w:lineRule="atLeast"/>
                    <w:jc w:val="center"/>
                    <w:rPr>
                      <w:color w:val="auto"/>
                      <w:szCs w:val="21"/>
                      <w:highlight w:val="none"/>
                    </w:rPr>
                  </w:pPr>
                  <w:r>
                    <w:rPr>
                      <w:color w:val="auto"/>
                      <w:szCs w:val="21"/>
                      <w:highlight w:val="none"/>
                    </w:rPr>
                    <w:t>国家或地方污染物排放标准</w:t>
                  </w:r>
                </w:p>
              </w:tc>
              <w:tc>
                <w:tcPr>
                  <w:tcW w:w="969" w:type="dxa"/>
                  <w:vMerge w:val="restart"/>
                  <w:vAlign w:val="center"/>
                </w:tcPr>
                <w:p>
                  <w:pPr>
                    <w:spacing w:line="0" w:lineRule="atLeast"/>
                    <w:jc w:val="center"/>
                    <w:rPr>
                      <w:color w:val="auto"/>
                      <w:szCs w:val="21"/>
                      <w:highlight w:val="none"/>
                    </w:rPr>
                  </w:pPr>
                  <w:r>
                    <w:rPr>
                      <w:color w:val="auto"/>
                      <w:szCs w:val="21"/>
                      <w:highlight w:val="none"/>
                    </w:rPr>
                    <w:t>年排放量/（t/a）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7" w:hRule="atLeast"/>
                <w:jc w:val="center"/>
              </w:trPr>
              <w:tc>
                <w:tcPr>
                  <w:tcW w:w="514" w:type="dxa"/>
                  <w:vMerge w:val="continue"/>
                  <w:vAlign w:val="center"/>
                </w:tcPr>
                <w:p>
                  <w:pPr>
                    <w:spacing w:line="0" w:lineRule="atLeast"/>
                    <w:jc w:val="center"/>
                    <w:rPr>
                      <w:color w:val="auto"/>
                      <w:szCs w:val="21"/>
                      <w:highlight w:val="none"/>
                    </w:rPr>
                  </w:pPr>
                </w:p>
              </w:tc>
              <w:tc>
                <w:tcPr>
                  <w:tcW w:w="663" w:type="dxa"/>
                  <w:vMerge w:val="continue"/>
                  <w:vAlign w:val="center"/>
                </w:tcPr>
                <w:p>
                  <w:pPr>
                    <w:spacing w:line="0" w:lineRule="atLeast"/>
                    <w:jc w:val="center"/>
                    <w:rPr>
                      <w:color w:val="auto"/>
                      <w:szCs w:val="21"/>
                      <w:highlight w:val="none"/>
                    </w:rPr>
                  </w:pPr>
                </w:p>
              </w:tc>
              <w:tc>
                <w:tcPr>
                  <w:tcW w:w="1448" w:type="dxa"/>
                  <w:vMerge w:val="continue"/>
                  <w:vAlign w:val="center"/>
                </w:tcPr>
                <w:p>
                  <w:pPr>
                    <w:spacing w:line="0" w:lineRule="atLeast"/>
                    <w:jc w:val="center"/>
                    <w:rPr>
                      <w:color w:val="auto"/>
                      <w:szCs w:val="21"/>
                      <w:highlight w:val="none"/>
                    </w:rPr>
                  </w:pPr>
                </w:p>
              </w:tc>
              <w:tc>
                <w:tcPr>
                  <w:tcW w:w="832" w:type="dxa"/>
                  <w:vMerge w:val="continue"/>
                  <w:vAlign w:val="center"/>
                </w:tcPr>
                <w:p>
                  <w:pPr>
                    <w:spacing w:line="0" w:lineRule="atLeast"/>
                    <w:jc w:val="center"/>
                    <w:rPr>
                      <w:color w:val="auto"/>
                      <w:szCs w:val="21"/>
                      <w:highlight w:val="none"/>
                    </w:rPr>
                  </w:pPr>
                </w:p>
              </w:tc>
              <w:tc>
                <w:tcPr>
                  <w:tcW w:w="1185" w:type="dxa"/>
                  <w:vMerge w:val="continue"/>
                  <w:vAlign w:val="center"/>
                </w:tcPr>
                <w:p>
                  <w:pPr>
                    <w:spacing w:line="0" w:lineRule="atLeast"/>
                    <w:jc w:val="center"/>
                    <w:rPr>
                      <w:color w:val="auto"/>
                      <w:szCs w:val="21"/>
                      <w:highlight w:val="none"/>
                    </w:rPr>
                  </w:pPr>
                </w:p>
              </w:tc>
              <w:tc>
                <w:tcPr>
                  <w:tcW w:w="1943" w:type="dxa"/>
                  <w:vAlign w:val="center"/>
                </w:tcPr>
                <w:p>
                  <w:pPr>
                    <w:spacing w:line="0" w:lineRule="atLeast"/>
                    <w:jc w:val="center"/>
                    <w:rPr>
                      <w:color w:val="auto"/>
                      <w:szCs w:val="21"/>
                      <w:highlight w:val="none"/>
                    </w:rPr>
                  </w:pPr>
                  <w:r>
                    <w:rPr>
                      <w:color w:val="auto"/>
                      <w:szCs w:val="21"/>
                      <w:highlight w:val="none"/>
                    </w:rPr>
                    <w:t>标准名称</w:t>
                  </w:r>
                </w:p>
              </w:tc>
              <w:tc>
                <w:tcPr>
                  <w:tcW w:w="1233" w:type="dxa"/>
                  <w:vAlign w:val="center"/>
                </w:tcPr>
                <w:p>
                  <w:pPr>
                    <w:spacing w:line="0" w:lineRule="atLeast"/>
                    <w:jc w:val="center"/>
                    <w:rPr>
                      <w:color w:val="auto"/>
                      <w:szCs w:val="21"/>
                      <w:highlight w:val="none"/>
                    </w:rPr>
                  </w:pPr>
                  <w:r>
                    <w:rPr>
                      <w:color w:val="auto"/>
                      <w:szCs w:val="21"/>
                      <w:highlight w:val="none"/>
                    </w:rPr>
                    <w:t>浓度限值/（μg/m</w:t>
                  </w:r>
                  <w:r>
                    <w:rPr>
                      <w:color w:val="auto"/>
                      <w:szCs w:val="21"/>
                      <w:highlight w:val="none"/>
                      <w:vertAlign w:val="superscript"/>
                    </w:rPr>
                    <w:t>3</w:t>
                  </w:r>
                  <w:r>
                    <w:rPr>
                      <w:color w:val="auto"/>
                      <w:szCs w:val="21"/>
                      <w:highlight w:val="none"/>
                    </w:rPr>
                    <w:t>）</w:t>
                  </w:r>
                </w:p>
              </w:tc>
              <w:tc>
                <w:tcPr>
                  <w:tcW w:w="969" w:type="dxa"/>
                  <w:vMerge w:val="continue"/>
                  <w:vAlign w:val="center"/>
                </w:tcPr>
                <w:p>
                  <w:pPr>
                    <w:spacing w:line="0" w:lineRule="atLeast"/>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14" w:type="dxa"/>
                  <w:vAlign w:val="center"/>
                </w:tcPr>
                <w:p>
                  <w:pPr>
                    <w:spacing w:line="0" w:lineRule="atLeast"/>
                    <w:jc w:val="center"/>
                    <w:rPr>
                      <w:color w:val="auto"/>
                      <w:szCs w:val="21"/>
                      <w:highlight w:val="none"/>
                    </w:rPr>
                  </w:pPr>
                  <w:r>
                    <w:rPr>
                      <w:color w:val="auto"/>
                      <w:szCs w:val="21"/>
                      <w:highlight w:val="none"/>
                    </w:rPr>
                    <w:t>1</w:t>
                  </w:r>
                </w:p>
              </w:tc>
              <w:tc>
                <w:tcPr>
                  <w:tcW w:w="663" w:type="dxa"/>
                  <w:vAlign w:val="center"/>
                </w:tcPr>
                <w:p>
                  <w:pPr>
                    <w:spacing w:line="0" w:lineRule="atLeast"/>
                    <w:jc w:val="center"/>
                    <w:rPr>
                      <w:color w:val="auto"/>
                      <w:szCs w:val="21"/>
                      <w:highlight w:val="none"/>
                    </w:rPr>
                  </w:pPr>
                  <w:r>
                    <w:rPr>
                      <w:rFonts w:hint="eastAsia"/>
                      <w:color w:val="auto"/>
                      <w:szCs w:val="21"/>
                      <w:highlight w:val="none"/>
                    </w:rPr>
                    <w:t>S1</w:t>
                  </w:r>
                </w:p>
              </w:tc>
              <w:tc>
                <w:tcPr>
                  <w:tcW w:w="1448" w:type="dxa"/>
                  <w:vAlign w:val="center"/>
                </w:tcPr>
                <w:p>
                  <w:pPr>
                    <w:spacing w:line="0" w:lineRule="atLeast"/>
                    <w:jc w:val="center"/>
                    <w:rPr>
                      <w:rFonts w:hint="eastAsia" w:eastAsia="宋体"/>
                      <w:color w:val="auto"/>
                      <w:szCs w:val="21"/>
                      <w:highlight w:val="none"/>
                      <w:lang w:eastAsia="zh-CN"/>
                    </w:rPr>
                  </w:pPr>
                  <w:r>
                    <w:rPr>
                      <w:rFonts w:hint="eastAsia"/>
                      <w:color w:val="auto"/>
                      <w:szCs w:val="21"/>
                      <w:highlight w:val="none"/>
                      <w:lang w:eastAsia="zh-CN"/>
                    </w:rPr>
                    <w:t>车间</w:t>
                  </w:r>
                </w:p>
              </w:tc>
              <w:tc>
                <w:tcPr>
                  <w:tcW w:w="832" w:type="dxa"/>
                  <w:vAlign w:val="center"/>
                </w:tcPr>
                <w:p>
                  <w:pPr>
                    <w:spacing w:line="0" w:lineRule="atLeast"/>
                    <w:jc w:val="center"/>
                    <w:rPr>
                      <w:color w:val="auto"/>
                      <w:szCs w:val="21"/>
                      <w:highlight w:val="none"/>
                    </w:rPr>
                  </w:pPr>
                  <w:r>
                    <w:rPr>
                      <w:color w:val="auto"/>
                      <w:szCs w:val="21"/>
                      <w:highlight w:val="none"/>
                    </w:rPr>
                    <w:t>颗粒物</w:t>
                  </w:r>
                </w:p>
              </w:tc>
              <w:tc>
                <w:tcPr>
                  <w:tcW w:w="1185" w:type="dxa"/>
                  <w:vAlign w:val="center"/>
                </w:tcPr>
                <w:p>
                  <w:pPr>
                    <w:spacing w:line="0" w:lineRule="atLeast"/>
                    <w:jc w:val="center"/>
                    <w:rPr>
                      <w:color w:val="auto"/>
                      <w:szCs w:val="21"/>
                      <w:highlight w:val="none"/>
                    </w:rPr>
                  </w:pPr>
                  <w:r>
                    <w:rPr>
                      <w:rFonts w:hint="eastAsia"/>
                      <w:color w:val="auto"/>
                      <w:szCs w:val="21"/>
                      <w:highlight w:val="none"/>
                      <w:lang w:eastAsia="zh-CN"/>
                    </w:rPr>
                    <w:t>滤筒除尘器</w:t>
                  </w:r>
                  <w:r>
                    <w:rPr>
                      <w:rFonts w:hint="eastAsia"/>
                      <w:color w:val="auto"/>
                      <w:szCs w:val="21"/>
                      <w:highlight w:val="none"/>
                    </w:rPr>
                    <w:t>，封闭车间</w:t>
                  </w:r>
                </w:p>
              </w:tc>
              <w:tc>
                <w:tcPr>
                  <w:tcW w:w="1943" w:type="dxa"/>
                  <w:vAlign w:val="center"/>
                </w:tcPr>
                <w:p>
                  <w:pPr>
                    <w:spacing w:line="0" w:lineRule="atLeast"/>
                    <w:jc w:val="center"/>
                    <w:rPr>
                      <w:color w:val="auto"/>
                      <w:szCs w:val="21"/>
                      <w:highlight w:val="none"/>
                    </w:rPr>
                  </w:pPr>
                  <w:r>
                    <w:rPr>
                      <w:color w:val="auto"/>
                      <w:szCs w:val="21"/>
                      <w:highlight w:val="none"/>
                    </w:rPr>
                    <w:t>《大气污染物综合排放标准》（GB16297-1996）</w:t>
                  </w:r>
                </w:p>
              </w:tc>
              <w:tc>
                <w:tcPr>
                  <w:tcW w:w="1233" w:type="dxa"/>
                  <w:vAlign w:val="center"/>
                </w:tcPr>
                <w:p>
                  <w:pPr>
                    <w:spacing w:line="0" w:lineRule="atLeast"/>
                    <w:jc w:val="center"/>
                    <w:rPr>
                      <w:color w:val="auto"/>
                      <w:szCs w:val="21"/>
                      <w:highlight w:val="none"/>
                    </w:rPr>
                  </w:pPr>
                  <w:r>
                    <w:rPr>
                      <w:color w:val="auto"/>
                      <w:sz w:val="23"/>
                      <w:szCs w:val="23"/>
                      <w:highlight w:val="none"/>
                    </w:rPr>
                    <w:t>1000</w:t>
                  </w:r>
                </w:p>
              </w:tc>
              <w:tc>
                <w:tcPr>
                  <w:tcW w:w="969" w:type="dxa"/>
                  <w:vAlign w:val="center"/>
                </w:tcPr>
                <w:p>
                  <w:pPr>
                    <w:spacing w:line="0" w:lineRule="atLeast"/>
                    <w:jc w:val="center"/>
                    <w:rPr>
                      <w:rFonts w:hint="default" w:eastAsia="宋体"/>
                      <w:color w:val="auto"/>
                      <w:szCs w:val="21"/>
                      <w:highlight w:val="none"/>
                      <w:lang w:val="en-US" w:eastAsia="zh-CN"/>
                    </w:rPr>
                  </w:pPr>
                  <w:r>
                    <w:rPr>
                      <w:rFonts w:hint="eastAsia"/>
                      <w:color w:val="auto"/>
                      <w:szCs w:val="21"/>
                      <w:highlight w:val="none"/>
                      <w:lang w:val="en-US" w:eastAsia="zh-CN"/>
                    </w:rPr>
                    <w:t>0.0132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57" w:type="dxa"/>
                  <w:gridSpan w:val="4"/>
                  <w:vAlign w:val="center"/>
                </w:tcPr>
                <w:p>
                  <w:pPr>
                    <w:spacing w:line="0" w:lineRule="atLeast"/>
                    <w:jc w:val="center"/>
                    <w:rPr>
                      <w:color w:val="auto"/>
                      <w:szCs w:val="21"/>
                      <w:highlight w:val="none"/>
                    </w:rPr>
                  </w:pPr>
                  <w:r>
                    <w:rPr>
                      <w:color w:val="auto"/>
                      <w:szCs w:val="21"/>
                      <w:highlight w:val="none"/>
                    </w:rPr>
                    <w:t>无组织排放总计</w:t>
                  </w:r>
                </w:p>
              </w:tc>
              <w:tc>
                <w:tcPr>
                  <w:tcW w:w="3128" w:type="dxa"/>
                  <w:gridSpan w:val="2"/>
                  <w:vAlign w:val="center"/>
                </w:tcPr>
                <w:p>
                  <w:pPr>
                    <w:spacing w:line="0" w:lineRule="atLeast"/>
                    <w:jc w:val="center"/>
                    <w:rPr>
                      <w:color w:val="auto"/>
                      <w:szCs w:val="21"/>
                      <w:highlight w:val="none"/>
                    </w:rPr>
                  </w:pPr>
                  <w:r>
                    <w:rPr>
                      <w:color w:val="auto"/>
                      <w:szCs w:val="21"/>
                      <w:highlight w:val="none"/>
                    </w:rPr>
                    <w:t>颗粒物</w:t>
                  </w:r>
                </w:p>
              </w:tc>
              <w:tc>
                <w:tcPr>
                  <w:tcW w:w="2202" w:type="dxa"/>
                  <w:gridSpan w:val="2"/>
                  <w:vAlign w:val="center"/>
                </w:tcPr>
                <w:p>
                  <w:pPr>
                    <w:spacing w:line="0" w:lineRule="atLeast"/>
                    <w:jc w:val="center"/>
                    <w:rPr>
                      <w:rFonts w:hint="default" w:eastAsia="宋体"/>
                      <w:color w:val="auto"/>
                      <w:szCs w:val="21"/>
                      <w:highlight w:val="none"/>
                      <w:lang w:val="en-US" w:eastAsia="zh-CN"/>
                    </w:rPr>
                  </w:pPr>
                  <w:r>
                    <w:rPr>
                      <w:rFonts w:hint="eastAsia"/>
                      <w:color w:val="auto"/>
                      <w:szCs w:val="21"/>
                      <w:highlight w:val="none"/>
                      <w:lang w:val="en-US" w:eastAsia="zh-CN"/>
                    </w:rPr>
                    <w:t>0.0132</w:t>
                  </w:r>
                </w:p>
              </w:tc>
            </w:tr>
          </w:tbl>
          <w:p>
            <w:pPr>
              <w:spacing w:line="440" w:lineRule="exact"/>
              <w:jc w:val="center"/>
              <w:rPr>
                <w:b/>
                <w:color w:val="auto"/>
                <w:sz w:val="24"/>
                <w:highlight w:val="none"/>
              </w:rPr>
            </w:pPr>
          </w:p>
          <w:p>
            <w:pPr>
              <w:spacing w:line="440" w:lineRule="exact"/>
              <w:jc w:val="center"/>
              <w:rPr>
                <w:b/>
                <w:color w:val="auto"/>
                <w:sz w:val="24"/>
                <w:highlight w:val="none"/>
              </w:rPr>
            </w:pPr>
            <w:r>
              <w:rPr>
                <w:b/>
                <w:color w:val="auto"/>
                <w:sz w:val="24"/>
                <w:highlight w:val="none"/>
              </w:rPr>
              <w:t>表</w:t>
            </w:r>
            <w:r>
              <w:rPr>
                <w:rFonts w:hint="eastAsia"/>
                <w:b/>
                <w:color w:val="auto"/>
                <w:sz w:val="24"/>
                <w:highlight w:val="none"/>
              </w:rPr>
              <w:t>2</w:t>
            </w:r>
            <w:r>
              <w:rPr>
                <w:rFonts w:hint="eastAsia"/>
                <w:b/>
                <w:color w:val="auto"/>
                <w:sz w:val="24"/>
                <w:highlight w:val="none"/>
                <w:lang w:val="en-US" w:eastAsia="zh-CN"/>
              </w:rPr>
              <w:t>7</w:t>
            </w:r>
            <w:r>
              <w:rPr>
                <w:rFonts w:hint="eastAsia"/>
                <w:b/>
                <w:color w:val="auto"/>
                <w:sz w:val="24"/>
                <w:highlight w:val="none"/>
              </w:rPr>
              <w:t xml:space="preserve">    </w:t>
            </w:r>
            <w:r>
              <w:rPr>
                <w:b/>
                <w:color w:val="auto"/>
                <w:sz w:val="24"/>
                <w:highlight w:val="none"/>
              </w:rPr>
              <w:t>大气污染物年排放量核算表</w:t>
            </w:r>
          </w:p>
          <w:tbl>
            <w:tblPr>
              <w:tblStyle w:val="31"/>
              <w:tblW w:w="87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12"/>
              <w:gridCol w:w="4095"/>
              <w:gridCol w:w="28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12" w:type="dxa"/>
                  <w:vAlign w:val="center"/>
                </w:tcPr>
                <w:p>
                  <w:pPr>
                    <w:spacing w:line="0" w:lineRule="atLeast"/>
                    <w:jc w:val="center"/>
                    <w:rPr>
                      <w:color w:val="auto"/>
                      <w:szCs w:val="21"/>
                      <w:highlight w:val="none"/>
                    </w:rPr>
                  </w:pPr>
                  <w:r>
                    <w:rPr>
                      <w:color w:val="auto"/>
                      <w:szCs w:val="21"/>
                      <w:highlight w:val="none"/>
                    </w:rPr>
                    <w:t>序号</w:t>
                  </w:r>
                </w:p>
              </w:tc>
              <w:tc>
                <w:tcPr>
                  <w:tcW w:w="4095" w:type="dxa"/>
                  <w:vAlign w:val="center"/>
                </w:tcPr>
                <w:p>
                  <w:pPr>
                    <w:spacing w:line="0" w:lineRule="atLeast"/>
                    <w:jc w:val="center"/>
                    <w:rPr>
                      <w:color w:val="auto"/>
                      <w:szCs w:val="21"/>
                      <w:highlight w:val="none"/>
                    </w:rPr>
                  </w:pPr>
                  <w:r>
                    <w:rPr>
                      <w:color w:val="auto"/>
                      <w:szCs w:val="21"/>
                      <w:highlight w:val="none"/>
                    </w:rPr>
                    <w:t>污染物</w:t>
                  </w:r>
                </w:p>
              </w:tc>
              <w:tc>
                <w:tcPr>
                  <w:tcW w:w="2880" w:type="dxa"/>
                  <w:vAlign w:val="center"/>
                </w:tcPr>
                <w:p>
                  <w:pPr>
                    <w:spacing w:line="0" w:lineRule="atLeast"/>
                    <w:jc w:val="center"/>
                    <w:rPr>
                      <w:color w:val="auto"/>
                      <w:szCs w:val="21"/>
                      <w:highlight w:val="none"/>
                    </w:rPr>
                  </w:pPr>
                  <w:r>
                    <w:rPr>
                      <w:color w:val="auto"/>
                      <w:szCs w:val="21"/>
                      <w:highlight w:val="none"/>
                    </w:rPr>
                    <w:t>核算年排放量/（t/a）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12" w:type="dxa"/>
                  <w:vAlign w:val="center"/>
                </w:tcPr>
                <w:p>
                  <w:pPr>
                    <w:spacing w:line="0" w:lineRule="atLeast"/>
                    <w:jc w:val="center"/>
                    <w:rPr>
                      <w:color w:val="auto"/>
                      <w:szCs w:val="21"/>
                      <w:highlight w:val="none"/>
                    </w:rPr>
                  </w:pPr>
                  <w:r>
                    <w:rPr>
                      <w:color w:val="auto"/>
                      <w:szCs w:val="21"/>
                      <w:highlight w:val="none"/>
                    </w:rPr>
                    <w:t>1</w:t>
                  </w:r>
                </w:p>
              </w:tc>
              <w:tc>
                <w:tcPr>
                  <w:tcW w:w="4095" w:type="dxa"/>
                  <w:vAlign w:val="center"/>
                </w:tcPr>
                <w:p>
                  <w:pPr>
                    <w:spacing w:line="0" w:lineRule="atLeast"/>
                    <w:jc w:val="center"/>
                    <w:rPr>
                      <w:color w:val="auto"/>
                      <w:szCs w:val="21"/>
                      <w:highlight w:val="none"/>
                    </w:rPr>
                  </w:pPr>
                  <w:r>
                    <w:rPr>
                      <w:color w:val="auto"/>
                      <w:szCs w:val="21"/>
                      <w:highlight w:val="none"/>
                    </w:rPr>
                    <w:t>颗粒物</w:t>
                  </w:r>
                </w:p>
              </w:tc>
              <w:tc>
                <w:tcPr>
                  <w:tcW w:w="2880" w:type="dxa"/>
                  <w:vAlign w:val="center"/>
                </w:tcPr>
                <w:p>
                  <w:pPr>
                    <w:spacing w:line="0" w:lineRule="atLeast"/>
                    <w:jc w:val="center"/>
                    <w:rPr>
                      <w:rFonts w:hint="default" w:eastAsia="宋体"/>
                      <w:color w:val="auto"/>
                      <w:szCs w:val="21"/>
                      <w:highlight w:val="none"/>
                      <w:lang w:val="en-US" w:eastAsia="zh-CN"/>
                    </w:rPr>
                  </w:pPr>
                  <w:r>
                    <w:rPr>
                      <w:rFonts w:hint="eastAsia"/>
                      <w:color w:val="auto"/>
                      <w:szCs w:val="21"/>
                      <w:highlight w:val="none"/>
                      <w:lang w:val="en-US" w:eastAsia="zh-CN"/>
                    </w:rPr>
                    <w:t>0.01634</w:t>
                  </w:r>
                </w:p>
              </w:tc>
            </w:tr>
          </w:tbl>
          <w:p>
            <w:pPr>
              <w:spacing w:line="380" w:lineRule="exact"/>
              <w:ind w:firstLine="420"/>
              <w:jc w:val="left"/>
              <w:rPr>
                <w:rFonts w:hint="eastAsia" w:ascii="Times New Roman" w:hAnsi="Times New Roman" w:eastAsia="宋体"/>
                <w:color w:val="auto"/>
                <w:w w:val="100"/>
                <w:sz w:val="24"/>
                <w:highlight w:val="none"/>
                <w:lang w:val="en-US" w:eastAsia="zh-CN"/>
              </w:rPr>
            </w:pPr>
            <w:r>
              <w:rPr>
                <w:rFonts w:hint="eastAsia" w:ascii="Times New Roman" w:hAnsi="Times New Roman" w:eastAsia="宋体"/>
                <w:color w:val="auto"/>
                <w:w w:val="100"/>
                <w:sz w:val="24"/>
                <w:highlight w:val="none"/>
                <w:lang w:val="en-US" w:eastAsia="zh-CN"/>
              </w:rPr>
              <w:t>（2）非正常工况大气污染物排放量核算表</w:t>
            </w:r>
          </w:p>
          <w:p>
            <w:pPr>
              <w:spacing w:line="380" w:lineRule="exact"/>
              <w:ind w:firstLine="420"/>
              <w:jc w:val="center"/>
              <w:rPr>
                <w:rFonts w:hint="eastAsia" w:ascii="Times New Roman" w:hAnsi="Times New Roman" w:eastAsia="黑体"/>
                <w:color w:val="auto"/>
                <w:w w:val="100"/>
                <w:sz w:val="24"/>
                <w:highlight w:val="none"/>
                <w:lang w:val="en-US" w:eastAsia="zh-CN"/>
              </w:rPr>
            </w:pPr>
            <w:r>
              <w:rPr>
                <w:rFonts w:hint="eastAsia" w:ascii="Times New Roman" w:hAnsi="Times New Roman" w:eastAsia="黑体"/>
                <w:color w:val="auto"/>
                <w:w w:val="100"/>
                <w:sz w:val="24"/>
                <w:highlight w:val="none"/>
                <w:lang w:val="en-US" w:eastAsia="zh-CN"/>
              </w:rPr>
              <w:t>表</w:t>
            </w:r>
            <w:r>
              <w:rPr>
                <w:rFonts w:hint="eastAsia" w:eastAsia="黑体"/>
                <w:color w:val="auto"/>
                <w:w w:val="100"/>
                <w:sz w:val="24"/>
                <w:highlight w:val="none"/>
                <w:lang w:val="en-US" w:eastAsia="zh-CN"/>
              </w:rPr>
              <w:t>28</w:t>
            </w:r>
            <w:r>
              <w:rPr>
                <w:rFonts w:hint="eastAsia" w:ascii="Times New Roman" w:hAnsi="Times New Roman" w:eastAsia="黑体"/>
                <w:color w:val="auto"/>
                <w:w w:val="100"/>
                <w:sz w:val="24"/>
                <w:highlight w:val="none"/>
                <w:lang w:val="en-US" w:eastAsia="zh-CN"/>
              </w:rPr>
              <w:t xml:space="preserve">  非正常工况大气污染物排放量核算表</w:t>
            </w:r>
          </w:p>
          <w:tbl>
            <w:tblPr>
              <w:tblStyle w:val="31"/>
              <w:tblW w:w="4995"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135"/>
              <w:gridCol w:w="1210"/>
              <w:gridCol w:w="961"/>
              <w:gridCol w:w="1261"/>
              <w:gridCol w:w="1195"/>
              <w:gridCol w:w="1045"/>
              <w:gridCol w:w="896"/>
              <w:gridCol w:w="81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1" w:hRule="exact"/>
              </w:trPr>
              <w:tc>
                <w:tcPr>
                  <w:tcW w:w="342" w:type="pct"/>
                  <w:noWrap w:val="0"/>
                  <w:vAlign w:val="center"/>
                </w:tcPr>
                <w:p>
                  <w:pPr>
                    <w:pStyle w:val="30"/>
                    <w:keepNext w:val="0"/>
                    <w:keepLines w:val="0"/>
                    <w:pageBreakBefore w:val="0"/>
                    <w:widowControl w:val="0"/>
                    <w:kinsoku/>
                    <w:wordWrap/>
                    <w:overflowPunct/>
                    <w:topLinePunct w:val="0"/>
                    <w:autoSpaceDE/>
                    <w:autoSpaceDN/>
                    <w:bidi w:val="0"/>
                    <w:adjustRightInd w:val="0"/>
                    <w:snapToGrid w:val="0"/>
                    <w:spacing w:after="0" w:line="320" w:lineRule="exact"/>
                    <w:ind w:left="0" w:leftChars="0" w:firstLine="0" w:firstLineChars="0"/>
                    <w:jc w:val="center"/>
                    <w:textAlignment w:val="auto"/>
                    <w:rPr>
                      <w:rFonts w:hint="default" w:ascii="Times New Roman" w:hAnsi="Times New Roman" w:cs="Times New Roman"/>
                      <w:color w:val="auto"/>
                      <w:w w:val="100"/>
                      <w:sz w:val="21"/>
                      <w:szCs w:val="21"/>
                      <w:highlight w:val="none"/>
                      <w:lang w:val="en-US"/>
                    </w:rPr>
                  </w:pPr>
                  <w:r>
                    <w:rPr>
                      <w:rFonts w:hint="default" w:ascii="Times New Roman" w:hAnsi="Times New Roman" w:cs="Times New Roman"/>
                      <w:color w:val="auto"/>
                      <w:w w:val="100"/>
                      <w:sz w:val="21"/>
                      <w:szCs w:val="21"/>
                      <w:highlight w:val="none"/>
                      <w:lang w:val="en-US"/>
                    </w:rPr>
                    <w:t>序号</w:t>
                  </w:r>
                </w:p>
              </w:tc>
              <w:tc>
                <w:tcPr>
                  <w:tcW w:w="620" w:type="pct"/>
                  <w:noWrap w:val="0"/>
                  <w:vAlign w:val="center"/>
                </w:tcPr>
                <w:p>
                  <w:pPr>
                    <w:pStyle w:val="30"/>
                    <w:keepNext w:val="0"/>
                    <w:keepLines w:val="0"/>
                    <w:pageBreakBefore w:val="0"/>
                    <w:widowControl w:val="0"/>
                    <w:kinsoku/>
                    <w:wordWrap/>
                    <w:overflowPunct/>
                    <w:topLinePunct w:val="0"/>
                    <w:autoSpaceDE/>
                    <w:autoSpaceDN/>
                    <w:bidi w:val="0"/>
                    <w:adjustRightInd w:val="0"/>
                    <w:snapToGrid w:val="0"/>
                    <w:spacing w:after="0" w:line="320" w:lineRule="exact"/>
                    <w:ind w:left="0" w:leftChars="0" w:firstLine="0" w:firstLineChars="0"/>
                    <w:jc w:val="center"/>
                    <w:textAlignment w:val="auto"/>
                    <w:rPr>
                      <w:rFonts w:hint="eastAsia" w:ascii="Times New Roman" w:hAnsi="Times New Roman" w:eastAsia="宋体"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污染源</w:t>
                  </w:r>
                </w:p>
              </w:tc>
              <w:tc>
                <w:tcPr>
                  <w:tcW w:w="661" w:type="pct"/>
                  <w:noWrap w:val="0"/>
                  <w:vAlign w:val="center"/>
                </w:tcPr>
                <w:p>
                  <w:pPr>
                    <w:pStyle w:val="30"/>
                    <w:keepNext w:val="0"/>
                    <w:keepLines w:val="0"/>
                    <w:pageBreakBefore w:val="0"/>
                    <w:widowControl w:val="0"/>
                    <w:kinsoku/>
                    <w:wordWrap/>
                    <w:overflowPunct/>
                    <w:topLinePunct w:val="0"/>
                    <w:autoSpaceDE/>
                    <w:autoSpaceDN/>
                    <w:bidi w:val="0"/>
                    <w:adjustRightInd w:val="0"/>
                    <w:snapToGrid w:val="0"/>
                    <w:spacing w:after="0" w:line="320" w:lineRule="exact"/>
                    <w:ind w:left="0" w:leftChars="0" w:firstLine="0" w:firstLineChars="0"/>
                    <w:jc w:val="center"/>
                    <w:textAlignment w:val="auto"/>
                    <w:rPr>
                      <w:rFonts w:hint="eastAsia" w:ascii="Times New Roman" w:hAnsi="Times New Roman" w:eastAsia="宋体"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非正常排放原因</w:t>
                  </w:r>
                </w:p>
              </w:tc>
              <w:tc>
                <w:tcPr>
                  <w:tcW w:w="525" w:type="pct"/>
                  <w:noWrap w:val="0"/>
                  <w:vAlign w:val="center"/>
                </w:tcPr>
                <w:p>
                  <w:pPr>
                    <w:pStyle w:val="30"/>
                    <w:keepNext w:val="0"/>
                    <w:keepLines w:val="0"/>
                    <w:pageBreakBefore w:val="0"/>
                    <w:widowControl w:val="0"/>
                    <w:kinsoku/>
                    <w:wordWrap/>
                    <w:overflowPunct/>
                    <w:topLinePunct w:val="0"/>
                    <w:autoSpaceDE/>
                    <w:autoSpaceDN/>
                    <w:bidi w:val="0"/>
                    <w:adjustRightInd w:val="0"/>
                    <w:snapToGrid w:val="0"/>
                    <w:spacing w:after="0" w:line="320" w:lineRule="exact"/>
                    <w:ind w:left="0" w:leftChars="0" w:firstLine="0" w:firstLineChars="0"/>
                    <w:jc w:val="center"/>
                    <w:textAlignment w:val="auto"/>
                    <w:rPr>
                      <w:rFonts w:hint="default" w:ascii="Times New Roman" w:hAnsi="Times New Roman" w:cs="Times New Roman"/>
                      <w:color w:val="auto"/>
                      <w:w w:val="100"/>
                      <w:sz w:val="21"/>
                      <w:szCs w:val="21"/>
                      <w:highlight w:val="none"/>
                      <w:lang w:val="en-US"/>
                    </w:rPr>
                  </w:pPr>
                  <w:r>
                    <w:rPr>
                      <w:rFonts w:hint="default" w:ascii="Times New Roman" w:hAnsi="Times New Roman" w:cs="Times New Roman"/>
                      <w:color w:val="auto"/>
                      <w:w w:val="100"/>
                      <w:sz w:val="21"/>
                      <w:szCs w:val="21"/>
                      <w:highlight w:val="none"/>
                      <w:lang w:val="en-US"/>
                    </w:rPr>
                    <w:t>污染物</w:t>
                  </w:r>
                </w:p>
              </w:tc>
              <w:tc>
                <w:tcPr>
                  <w:tcW w:w="689" w:type="pct"/>
                  <w:noWrap w:val="0"/>
                  <w:vAlign w:val="center"/>
                </w:tcPr>
                <w:p>
                  <w:pPr>
                    <w:pStyle w:val="30"/>
                    <w:keepNext w:val="0"/>
                    <w:keepLines w:val="0"/>
                    <w:pageBreakBefore w:val="0"/>
                    <w:widowControl w:val="0"/>
                    <w:kinsoku/>
                    <w:wordWrap/>
                    <w:overflowPunct/>
                    <w:topLinePunct w:val="0"/>
                    <w:autoSpaceDE/>
                    <w:autoSpaceDN/>
                    <w:bidi w:val="0"/>
                    <w:adjustRightInd w:val="0"/>
                    <w:snapToGrid w:val="0"/>
                    <w:spacing w:after="0" w:line="320" w:lineRule="exact"/>
                    <w:ind w:left="0" w:leftChars="0" w:firstLine="0" w:firstLineChars="0"/>
                    <w:jc w:val="center"/>
                    <w:textAlignment w:val="auto"/>
                    <w:rPr>
                      <w:rFonts w:hint="eastAsia" w:ascii="Times New Roman" w:hAnsi="Times New Roman" w:eastAsia="宋体"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非正常排放浓度（mg/m</w:t>
                  </w:r>
                  <w:r>
                    <w:rPr>
                      <w:rFonts w:hint="eastAsia" w:ascii="Times New Roman" w:hAnsi="Times New Roman" w:cs="Times New Roman"/>
                      <w:color w:val="auto"/>
                      <w:w w:val="100"/>
                      <w:sz w:val="21"/>
                      <w:szCs w:val="21"/>
                      <w:highlight w:val="none"/>
                      <w:vertAlign w:val="superscript"/>
                      <w:lang w:val="en-US" w:eastAsia="zh-CN"/>
                    </w:rPr>
                    <w:t>3</w:t>
                  </w:r>
                  <w:r>
                    <w:rPr>
                      <w:rFonts w:hint="eastAsia" w:ascii="Times New Roman" w:hAnsi="Times New Roman" w:cs="Times New Roman"/>
                      <w:color w:val="auto"/>
                      <w:w w:val="100"/>
                      <w:sz w:val="21"/>
                      <w:szCs w:val="21"/>
                      <w:highlight w:val="none"/>
                      <w:lang w:val="en-US" w:eastAsia="zh-CN"/>
                    </w:rPr>
                    <w:t>）</w:t>
                  </w:r>
                </w:p>
              </w:tc>
              <w:tc>
                <w:tcPr>
                  <w:tcW w:w="653" w:type="pct"/>
                  <w:noWrap w:val="0"/>
                  <w:vAlign w:val="center"/>
                </w:tcPr>
                <w:p>
                  <w:pPr>
                    <w:pStyle w:val="30"/>
                    <w:keepNext w:val="0"/>
                    <w:keepLines w:val="0"/>
                    <w:pageBreakBefore w:val="0"/>
                    <w:widowControl w:val="0"/>
                    <w:kinsoku/>
                    <w:wordWrap/>
                    <w:overflowPunct/>
                    <w:topLinePunct w:val="0"/>
                    <w:autoSpaceDE/>
                    <w:autoSpaceDN/>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非正常排放速率kg/h</w:t>
                  </w:r>
                </w:p>
              </w:tc>
              <w:tc>
                <w:tcPr>
                  <w:tcW w:w="571" w:type="pct"/>
                  <w:noWrap w:val="0"/>
                  <w:vAlign w:val="center"/>
                </w:tcPr>
                <w:p>
                  <w:pPr>
                    <w:pStyle w:val="30"/>
                    <w:keepNext w:val="0"/>
                    <w:keepLines w:val="0"/>
                    <w:pageBreakBefore w:val="0"/>
                    <w:widowControl w:val="0"/>
                    <w:kinsoku/>
                    <w:wordWrap/>
                    <w:overflowPunct/>
                    <w:topLinePunct w:val="0"/>
                    <w:autoSpaceDE/>
                    <w:autoSpaceDN/>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单次持续时间h</w:t>
                  </w:r>
                </w:p>
              </w:tc>
              <w:tc>
                <w:tcPr>
                  <w:tcW w:w="489" w:type="pct"/>
                  <w:noWrap w:val="0"/>
                  <w:vAlign w:val="center"/>
                </w:tcPr>
                <w:p>
                  <w:pPr>
                    <w:pStyle w:val="30"/>
                    <w:keepNext w:val="0"/>
                    <w:keepLines w:val="0"/>
                    <w:pageBreakBefore w:val="0"/>
                    <w:widowControl w:val="0"/>
                    <w:kinsoku/>
                    <w:wordWrap/>
                    <w:overflowPunct/>
                    <w:topLinePunct w:val="0"/>
                    <w:autoSpaceDE/>
                    <w:autoSpaceDN/>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年发生频次/次</w:t>
                  </w:r>
                </w:p>
              </w:tc>
              <w:tc>
                <w:tcPr>
                  <w:tcW w:w="446" w:type="pct"/>
                  <w:noWrap w:val="0"/>
                  <w:vAlign w:val="center"/>
                </w:tcPr>
                <w:p>
                  <w:pPr>
                    <w:pStyle w:val="30"/>
                    <w:keepNext w:val="0"/>
                    <w:keepLines w:val="0"/>
                    <w:pageBreakBefore w:val="0"/>
                    <w:widowControl w:val="0"/>
                    <w:kinsoku/>
                    <w:wordWrap/>
                    <w:overflowPunct/>
                    <w:topLinePunct w:val="0"/>
                    <w:autoSpaceDE/>
                    <w:autoSpaceDN/>
                    <w:bidi w:val="0"/>
                    <w:adjustRightInd w:val="0"/>
                    <w:snapToGrid w:val="0"/>
                    <w:spacing w:after="0" w:line="360" w:lineRule="exact"/>
                    <w:ind w:left="0" w:leftChars="0" w:firstLine="0" w:firstLineChars="0"/>
                    <w:jc w:val="center"/>
                    <w:textAlignment w:val="auto"/>
                    <w:rPr>
                      <w:rFonts w:hint="eastAsia" w:ascii="Times New Roman" w:hAnsi="Times New Roman" w:eastAsia="宋体"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应对措施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4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100"/>
                      <w:sz w:val="21"/>
                      <w:szCs w:val="21"/>
                      <w:highlight w:val="none"/>
                      <w:lang w:val="en-US" w:eastAsia="zh-CN"/>
                    </w:rPr>
                  </w:pPr>
                  <w:r>
                    <w:rPr>
                      <w:rFonts w:hint="default" w:ascii="Times New Roman" w:hAnsi="Times New Roman" w:cs="Times New Roman"/>
                      <w:color w:val="auto"/>
                      <w:w w:val="100"/>
                      <w:sz w:val="21"/>
                      <w:szCs w:val="21"/>
                      <w:highlight w:val="none"/>
                    </w:rPr>
                    <w:t>1</w:t>
                  </w:r>
                </w:p>
              </w:tc>
              <w:tc>
                <w:tcPr>
                  <w:tcW w:w="620"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100"/>
                      <w:sz w:val="21"/>
                      <w:szCs w:val="21"/>
                      <w:highlight w:val="none"/>
                      <w:lang w:val="en-US" w:eastAsia="zh-CN"/>
                    </w:rPr>
                  </w:pPr>
                  <w:r>
                    <w:rPr>
                      <w:rFonts w:hint="eastAsia" w:ascii="Times New Roman" w:hAnsi="Times New Roman" w:eastAsia="宋体" w:cs="Times New Roman"/>
                      <w:color w:val="auto"/>
                      <w:w w:val="100"/>
                      <w:sz w:val="21"/>
                      <w:szCs w:val="21"/>
                      <w:highlight w:val="none"/>
                      <w:lang w:val="en-US" w:eastAsia="zh-CN"/>
                    </w:rPr>
                    <w:t>P1</w:t>
                  </w:r>
                </w:p>
              </w:tc>
              <w:tc>
                <w:tcPr>
                  <w:tcW w:w="66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100"/>
                      <w:sz w:val="21"/>
                      <w:szCs w:val="21"/>
                      <w:highlight w:val="none"/>
                      <w:lang w:eastAsia="zh-CN"/>
                    </w:rPr>
                  </w:pPr>
                  <w:r>
                    <w:rPr>
                      <w:rFonts w:hint="eastAsia" w:ascii="Times New Roman" w:hAnsi="Times New Roman" w:cs="Times New Roman"/>
                      <w:color w:val="auto"/>
                      <w:w w:val="100"/>
                      <w:sz w:val="21"/>
                      <w:szCs w:val="21"/>
                      <w:highlight w:val="none"/>
                      <w:lang w:eastAsia="zh-CN"/>
                    </w:rPr>
                    <w:t>布袋除尘器损坏</w:t>
                  </w:r>
                </w:p>
              </w:tc>
              <w:tc>
                <w:tcPr>
                  <w:tcW w:w="52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w w:val="100"/>
                      <w:sz w:val="21"/>
                      <w:szCs w:val="21"/>
                      <w:highlight w:val="none"/>
                    </w:rPr>
                  </w:pPr>
                  <w:r>
                    <w:rPr>
                      <w:rFonts w:hint="default" w:ascii="Times New Roman" w:hAnsi="Times New Roman" w:cs="Times New Roman"/>
                      <w:color w:val="auto"/>
                      <w:w w:val="100"/>
                      <w:sz w:val="21"/>
                      <w:szCs w:val="21"/>
                      <w:highlight w:val="none"/>
                    </w:rPr>
                    <w:t>颗粒物</w:t>
                  </w:r>
                </w:p>
              </w:tc>
              <w:tc>
                <w:tcPr>
                  <w:tcW w:w="689"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eastAsia" w:ascii="Times New Roman" w:hAnsi="Times New Roman" w:eastAsia="宋体" w:cs="Times New Roman"/>
                      <w:color w:val="auto"/>
                      <w:w w:val="100"/>
                      <w:sz w:val="21"/>
                      <w:szCs w:val="21"/>
                      <w:highlight w:val="none"/>
                      <w:lang w:val="en-US" w:eastAsia="zh-CN"/>
                    </w:rPr>
                    <w:t>280</w:t>
                  </w:r>
                </w:p>
              </w:tc>
              <w:tc>
                <w:tcPr>
                  <w:tcW w:w="65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1.12</w:t>
                  </w:r>
                </w:p>
              </w:tc>
              <w:tc>
                <w:tcPr>
                  <w:tcW w:w="57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color w:val="auto"/>
                      <w:w w:val="100"/>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1</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w w:val="100"/>
                      <w:sz w:val="21"/>
                      <w:szCs w:val="21"/>
                      <w:highlight w:val="none"/>
                      <w:lang w:val="en-US" w:eastAsia="zh-CN"/>
                    </w:rPr>
                  </w:pPr>
                </w:p>
              </w:tc>
              <w:tc>
                <w:tcPr>
                  <w:tcW w:w="489"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1</w:t>
                  </w:r>
                </w:p>
              </w:tc>
              <w:tc>
                <w:tcPr>
                  <w:tcW w:w="446"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停产检修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4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sz w:val="21"/>
                      <w:szCs w:val="21"/>
                      <w:highlight w:val="none"/>
                    </w:rPr>
                    <w:t>1</w:t>
                  </w:r>
                </w:p>
              </w:tc>
              <w:tc>
                <w:tcPr>
                  <w:tcW w:w="620"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100"/>
                      <w:kern w:val="2"/>
                      <w:sz w:val="21"/>
                      <w:szCs w:val="21"/>
                      <w:highlight w:val="none"/>
                      <w:lang w:val="en-US" w:eastAsia="zh-CN" w:bidi="ar-SA"/>
                    </w:rPr>
                  </w:pPr>
                  <w:r>
                    <w:rPr>
                      <w:rFonts w:hint="eastAsia" w:ascii="Times New Roman" w:hAnsi="Times New Roman" w:eastAsia="宋体" w:cs="Times New Roman"/>
                      <w:color w:val="auto"/>
                      <w:w w:val="100"/>
                      <w:sz w:val="21"/>
                      <w:szCs w:val="21"/>
                      <w:highlight w:val="none"/>
                      <w:lang w:val="en-US" w:eastAsia="zh-CN"/>
                    </w:rPr>
                    <w:t>P</w:t>
                  </w:r>
                  <w:r>
                    <w:rPr>
                      <w:rFonts w:hint="eastAsia" w:cs="Times New Roman"/>
                      <w:color w:val="auto"/>
                      <w:w w:val="100"/>
                      <w:sz w:val="21"/>
                      <w:szCs w:val="21"/>
                      <w:highlight w:val="none"/>
                      <w:lang w:val="en-US" w:eastAsia="zh-CN"/>
                    </w:rPr>
                    <w:t>2</w:t>
                  </w:r>
                </w:p>
              </w:tc>
              <w:tc>
                <w:tcPr>
                  <w:tcW w:w="66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100"/>
                      <w:kern w:val="2"/>
                      <w:sz w:val="21"/>
                      <w:szCs w:val="21"/>
                      <w:highlight w:val="none"/>
                      <w:lang w:val="en-US" w:eastAsia="zh-CN" w:bidi="ar-SA"/>
                    </w:rPr>
                  </w:pPr>
                  <w:r>
                    <w:rPr>
                      <w:rFonts w:hint="eastAsia" w:ascii="Times New Roman" w:hAnsi="Times New Roman" w:cs="Times New Roman"/>
                      <w:color w:val="auto"/>
                      <w:w w:val="100"/>
                      <w:sz w:val="21"/>
                      <w:szCs w:val="21"/>
                      <w:highlight w:val="none"/>
                      <w:lang w:eastAsia="zh-CN"/>
                    </w:rPr>
                    <w:t>布袋除尘器损坏</w:t>
                  </w:r>
                </w:p>
              </w:tc>
              <w:tc>
                <w:tcPr>
                  <w:tcW w:w="52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sz w:val="21"/>
                      <w:szCs w:val="21"/>
                      <w:highlight w:val="none"/>
                    </w:rPr>
                    <w:t>颗粒物</w:t>
                  </w:r>
                </w:p>
              </w:tc>
              <w:tc>
                <w:tcPr>
                  <w:tcW w:w="689"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eastAsia" w:cs="Times New Roman"/>
                      <w:color w:val="auto"/>
                      <w:w w:val="100"/>
                      <w:sz w:val="21"/>
                      <w:szCs w:val="21"/>
                      <w:highlight w:val="none"/>
                      <w:lang w:val="en-US" w:eastAsia="zh-CN"/>
                    </w:rPr>
                    <w:t>150</w:t>
                  </w:r>
                </w:p>
              </w:tc>
              <w:tc>
                <w:tcPr>
                  <w:tcW w:w="65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eastAsia" w:cs="Times New Roman"/>
                      <w:color w:val="auto"/>
                      <w:w w:val="100"/>
                      <w:sz w:val="21"/>
                      <w:szCs w:val="21"/>
                      <w:highlight w:val="none"/>
                      <w:lang w:val="en-US" w:eastAsia="zh-CN"/>
                    </w:rPr>
                    <w:t>0.45</w:t>
                  </w:r>
                </w:p>
              </w:tc>
              <w:tc>
                <w:tcPr>
                  <w:tcW w:w="57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color w:val="auto"/>
                      <w:w w:val="100"/>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color w:val="auto"/>
                      <w:w w:val="100"/>
                      <w:sz w:val="21"/>
                      <w:szCs w:val="21"/>
                      <w:highlight w:val="none"/>
                      <w:lang w:val="en-US" w:eastAsia="zh-CN"/>
                    </w:rPr>
                  </w:pPr>
                  <w:r>
                    <w:rPr>
                      <w:rFonts w:hint="eastAsia" w:ascii="Times New Roman" w:hAnsi="Times New Roman" w:cs="Times New Roman"/>
                      <w:color w:val="auto"/>
                      <w:w w:val="100"/>
                      <w:sz w:val="21"/>
                      <w:szCs w:val="21"/>
                      <w:highlight w:val="none"/>
                      <w:lang w:val="en-US" w:eastAsia="zh-CN"/>
                    </w:rPr>
                    <w:t>1</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100"/>
                      <w:kern w:val="2"/>
                      <w:sz w:val="21"/>
                      <w:szCs w:val="21"/>
                      <w:highlight w:val="none"/>
                      <w:lang w:val="en-US" w:eastAsia="zh-CN" w:bidi="ar-SA"/>
                    </w:rPr>
                  </w:pPr>
                </w:p>
              </w:tc>
              <w:tc>
                <w:tcPr>
                  <w:tcW w:w="489"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100"/>
                      <w:kern w:val="2"/>
                      <w:sz w:val="21"/>
                      <w:szCs w:val="21"/>
                      <w:highlight w:val="none"/>
                      <w:lang w:val="en-US" w:eastAsia="zh-CN" w:bidi="ar-SA"/>
                    </w:rPr>
                  </w:pPr>
                  <w:r>
                    <w:rPr>
                      <w:rFonts w:hint="eastAsia" w:ascii="Times New Roman" w:hAnsi="Times New Roman" w:cs="Times New Roman"/>
                      <w:color w:val="auto"/>
                      <w:w w:val="100"/>
                      <w:sz w:val="21"/>
                      <w:szCs w:val="21"/>
                      <w:highlight w:val="none"/>
                      <w:lang w:val="en-US" w:eastAsia="zh-CN"/>
                    </w:rPr>
                    <w:t>1</w:t>
                  </w:r>
                </w:p>
              </w:tc>
              <w:tc>
                <w:tcPr>
                  <w:tcW w:w="446"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100"/>
                      <w:kern w:val="2"/>
                      <w:sz w:val="21"/>
                      <w:szCs w:val="21"/>
                      <w:highlight w:val="none"/>
                      <w:lang w:val="en-US" w:eastAsia="zh-CN" w:bidi="ar-SA"/>
                    </w:rPr>
                  </w:pPr>
                  <w:r>
                    <w:rPr>
                      <w:rFonts w:hint="eastAsia" w:ascii="Times New Roman" w:hAnsi="Times New Roman" w:cs="Times New Roman"/>
                      <w:color w:val="auto"/>
                      <w:w w:val="100"/>
                      <w:sz w:val="21"/>
                      <w:szCs w:val="21"/>
                      <w:highlight w:val="none"/>
                      <w:lang w:val="en-US" w:eastAsia="zh-CN"/>
                    </w:rPr>
                    <w:t>停产检修</w:t>
                  </w:r>
                </w:p>
              </w:tc>
            </w:tr>
          </w:tbl>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Times New Roman" w:hAnsi="Times New Roman"/>
                <w:color w:val="auto"/>
                <w:w w:val="100"/>
                <w:sz w:val="24"/>
                <w:highlight w:val="none"/>
              </w:rPr>
            </w:pPr>
            <w:r>
              <w:rPr>
                <w:rFonts w:ascii="Times New Roman" w:hAnsi="Times New Roman"/>
                <w:color w:val="auto"/>
                <w:w w:val="100"/>
                <w:sz w:val="24"/>
                <w:highlight w:val="none"/>
              </w:rPr>
              <w:t>非正常工况出现后，造成高浓度含尘废气排放，项目采取以下措施：在日常管理中，建立健全生产管理制度，设专人管理、规范操作，要求</w:t>
            </w:r>
            <w:r>
              <w:rPr>
                <w:rFonts w:hint="eastAsia"/>
                <w:color w:val="auto"/>
                <w:spacing w:val="8"/>
                <w:kern w:val="24"/>
                <w:sz w:val="24"/>
                <w:highlight w:val="none"/>
                <w:lang w:val="zh-CN"/>
              </w:rPr>
              <w:t>数控火焰切割机</w:t>
            </w:r>
            <w:r>
              <w:rPr>
                <w:rFonts w:hint="eastAsia" w:ascii="Times New Roman" w:hAnsi="Times New Roman"/>
                <w:color w:val="auto"/>
                <w:w w:val="100"/>
                <w:sz w:val="24"/>
                <w:highlight w:val="none"/>
                <w:lang w:eastAsia="zh-CN"/>
              </w:rPr>
              <w:t>等</w:t>
            </w:r>
            <w:r>
              <w:rPr>
                <w:rFonts w:ascii="Times New Roman" w:hAnsi="Times New Roman"/>
                <w:color w:val="auto"/>
                <w:w w:val="100"/>
                <w:sz w:val="24"/>
                <w:highlight w:val="none"/>
              </w:rPr>
              <w:t>设备试车时，必须先行运行除尘设施；停产、检修时先关闭产污设备后，方可停止除尘设施。同时加强除尘系统各装置及设备密封性的检查和维护，关注除尘器的压力损失情况，及时更换破损滤袋等情况。采取以上措施后，降低废气非正常工况污染物排放对环境的影响。</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Times New Roman" w:hAnsi="Times New Roman"/>
                <w:color w:val="auto"/>
                <w:w w:val="100"/>
                <w:sz w:val="24"/>
                <w:highlight w:val="none"/>
              </w:rPr>
            </w:pPr>
            <w:r>
              <w:rPr>
                <w:rFonts w:ascii="Times New Roman" w:hAnsi="Times New Roman"/>
                <w:color w:val="auto"/>
                <w:w w:val="100"/>
                <w:sz w:val="24"/>
                <w:highlight w:val="none"/>
              </w:rPr>
              <w:t>因此，非正常工况下对大气环境影响</w:t>
            </w:r>
            <w:r>
              <w:rPr>
                <w:rFonts w:hint="eastAsia" w:ascii="Times New Roman" w:hAnsi="Times New Roman"/>
                <w:color w:val="auto"/>
                <w:w w:val="100"/>
                <w:sz w:val="24"/>
                <w:highlight w:val="none"/>
              </w:rPr>
              <w:t>增大</w:t>
            </w:r>
            <w:r>
              <w:rPr>
                <w:rFonts w:ascii="Times New Roman" w:hAnsi="Times New Roman"/>
                <w:color w:val="auto"/>
                <w:w w:val="100"/>
                <w:sz w:val="24"/>
                <w:highlight w:val="none"/>
              </w:rPr>
              <w:t>。本项目要求</w:t>
            </w:r>
            <w:r>
              <w:rPr>
                <w:rFonts w:hint="eastAsia" w:ascii="Times New Roman" w:hAnsi="Times New Roman"/>
                <w:color w:val="auto"/>
                <w:w w:val="100"/>
                <w:sz w:val="24"/>
                <w:highlight w:val="none"/>
              </w:rPr>
              <w:t>企业应加强操作管理，减少非计划停车及事故工况发生频次。</w:t>
            </w:r>
            <w:r>
              <w:rPr>
                <w:rFonts w:ascii="Times New Roman" w:hAnsi="Times New Roman"/>
                <w:color w:val="auto"/>
                <w:w w:val="100"/>
                <w:sz w:val="24"/>
                <w:highlight w:val="none"/>
              </w:rPr>
              <w:t>一旦发生非正常工况，立即停产，直至废气处理措施恢复正常后，恢复生产。</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color w:val="auto"/>
                <w:sz w:val="24"/>
                <w:highlight w:val="none"/>
              </w:rPr>
            </w:pPr>
            <w:r>
              <w:rPr>
                <w:bCs/>
                <w:color w:val="auto"/>
                <w:sz w:val="24"/>
                <w:highlight w:val="none"/>
              </w:rPr>
              <w:t>（4）</w:t>
            </w:r>
            <w:r>
              <w:rPr>
                <w:color w:val="auto"/>
                <w:sz w:val="24"/>
                <w:highlight w:val="none"/>
              </w:rPr>
              <w:t>结论</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Times New Roman" w:hAnsi="Times New Roman"/>
                <w:caps w:val="0"/>
                <w:smallCaps w:val="0"/>
                <w:color w:val="auto"/>
                <w:sz w:val="24"/>
                <w:szCs w:val="24"/>
                <w:highlight w:val="none"/>
                <w:lang w:eastAsia="zh-CN"/>
              </w:rPr>
            </w:pPr>
            <w:r>
              <w:rPr>
                <w:rFonts w:ascii="Times New Roman" w:hAnsi="Times New Roman"/>
                <w:color w:val="auto"/>
                <w:w w:val="100"/>
                <w:sz w:val="24"/>
                <w:highlight w:val="none"/>
              </w:rPr>
              <w:t>1）非达标区环境可接受性</w:t>
            </w:r>
            <w:r>
              <w:rPr>
                <w:rFonts w:hint="eastAsia"/>
                <w:color w:val="auto"/>
                <w:w w:val="100"/>
                <w:sz w:val="24"/>
                <w:highlight w:val="none"/>
                <w:lang w:eastAsia="zh-CN"/>
              </w:rPr>
              <w:t>：</w:t>
            </w:r>
            <w:r>
              <w:rPr>
                <w:rFonts w:hint="eastAsia" w:ascii="Times New Roman" w:hAnsi="Times New Roman"/>
                <w:caps w:val="0"/>
                <w:smallCaps w:val="0"/>
                <w:color w:val="auto"/>
                <w:sz w:val="24"/>
                <w:szCs w:val="24"/>
                <w:highlight w:val="none"/>
                <w:lang w:val="en-US"/>
              </w:rPr>
              <w:t>拟建项目正常运行时，污染源的各类污染物</w:t>
            </w:r>
            <w:r>
              <w:rPr>
                <w:rFonts w:ascii="Times New Roman" w:hAnsi="Times New Roman"/>
                <w:caps w:val="0"/>
                <w:smallCaps w:val="0"/>
                <w:color w:val="auto"/>
                <w:sz w:val="24"/>
                <w:szCs w:val="24"/>
                <w:highlight w:val="none"/>
              </w:rPr>
              <w:t>各污染物的短期浓度贡献值最大浓度占标率均小于</w:t>
            </w:r>
            <w:r>
              <w:rPr>
                <w:rFonts w:hint="eastAsia" w:ascii="Times New Roman" w:hAnsi="Times New Roman"/>
                <w:caps w:val="0"/>
                <w:smallCaps w:val="0"/>
                <w:color w:val="auto"/>
                <w:sz w:val="24"/>
                <w:szCs w:val="24"/>
                <w:highlight w:val="none"/>
              </w:rPr>
              <w:t>10</w:t>
            </w:r>
            <w:r>
              <w:rPr>
                <w:rFonts w:ascii="Times New Roman" w:hAnsi="Times New Roman"/>
                <w:caps w:val="0"/>
                <w:smallCaps w:val="0"/>
                <w:color w:val="auto"/>
                <w:sz w:val="24"/>
                <w:szCs w:val="24"/>
                <w:highlight w:val="none"/>
              </w:rPr>
              <w:t>0%</w:t>
            </w:r>
            <w:r>
              <w:rPr>
                <w:rFonts w:hint="eastAsia" w:ascii="Times New Roman" w:hAnsi="Times New Roman"/>
                <w:caps w:val="0"/>
                <w:smallCaps w:val="0"/>
                <w:color w:val="auto"/>
                <w:sz w:val="24"/>
                <w:szCs w:val="24"/>
                <w:highlight w:val="none"/>
              </w:rPr>
              <w:t>。</w:t>
            </w:r>
            <w:r>
              <w:rPr>
                <w:rFonts w:hint="eastAsia" w:ascii="Times New Roman" w:hAnsi="Times New Roman"/>
                <w:caps w:val="0"/>
                <w:smallCaps w:val="0"/>
                <w:color w:val="auto"/>
                <w:sz w:val="24"/>
                <w:szCs w:val="24"/>
                <w:highlight w:val="none"/>
                <w:lang w:val="en-US"/>
              </w:rPr>
              <w:t>本项目属于不达标区，对于不达标污染物</w:t>
            </w:r>
            <w:r>
              <w:rPr>
                <w:rFonts w:hint="eastAsia" w:ascii="Times New Roman" w:hAnsi="Times New Roman"/>
                <w:caps w:val="0"/>
                <w:smallCaps w:val="0"/>
                <w:color w:val="auto"/>
                <w:sz w:val="24"/>
                <w:szCs w:val="24"/>
                <w:highlight w:val="none"/>
                <w:lang w:val="en-US" w:eastAsia="zh-CN"/>
              </w:rPr>
              <w:t>颗粒物</w:t>
            </w:r>
            <w:r>
              <w:rPr>
                <w:rFonts w:hint="eastAsia" w:ascii="Times New Roman" w:hAnsi="Times New Roman"/>
                <w:caps w:val="0"/>
                <w:smallCaps w:val="0"/>
                <w:color w:val="auto"/>
                <w:sz w:val="24"/>
                <w:szCs w:val="24"/>
                <w:highlight w:val="none"/>
                <w:lang w:val="en-US"/>
              </w:rPr>
              <w:t>最大地面落地浓度</w:t>
            </w:r>
            <w:r>
              <w:rPr>
                <w:rFonts w:hint="eastAsia" w:hAnsi="Times New Roman"/>
                <w:caps w:val="0"/>
                <w:smallCaps w:val="0"/>
                <w:color w:val="auto"/>
                <w:sz w:val="24"/>
                <w:szCs w:val="24"/>
                <w:highlight w:val="none"/>
                <w:lang w:val="en-US" w:eastAsia="zh-CN"/>
              </w:rPr>
              <w:t>0.0</w:t>
            </w:r>
            <w:r>
              <w:rPr>
                <w:rFonts w:hint="eastAsia"/>
                <w:caps w:val="0"/>
                <w:smallCaps w:val="0"/>
                <w:color w:val="auto"/>
                <w:sz w:val="24"/>
                <w:szCs w:val="24"/>
                <w:highlight w:val="none"/>
                <w:lang w:val="en-US" w:eastAsia="zh-CN"/>
              </w:rPr>
              <w:t>626</w:t>
            </w:r>
            <w:r>
              <w:rPr>
                <w:rFonts w:hint="eastAsia" w:ascii="Times New Roman" w:hAnsi="Times New Roman"/>
                <w:caps w:val="0"/>
                <w:smallCaps w:val="0"/>
                <w:color w:val="auto"/>
                <w:sz w:val="24"/>
                <w:szCs w:val="24"/>
                <w:highlight w:val="none"/>
              </w:rPr>
              <w:t>mg/m</w:t>
            </w:r>
            <w:r>
              <w:rPr>
                <w:rFonts w:hint="eastAsia" w:ascii="Times New Roman" w:hAnsi="Times New Roman"/>
                <w:caps w:val="0"/>
                <w:smallCaps w:val="0"/>
                <w:color w:val="auto"/>
                <w:sz w:val="24"/>
                <w:szCs w:val="24"/>
                <w:highlight w:val="none"/>
                <w:vertAlign w:val="superscript"/>
              </w:rPr>
              <w:t>3</w:t>
            </w:r>
            <w:r>
              <w:rPr>
                <w:rFonts w:hint="eastAsia" w:ascii="Times New Roman" w:hAnsi="Times New Roman"/>
                <w:caps w:val="0"/>
                <w:smallCaps w:val="0"/>
                <w:color w:val="auto"/>
                <w:sz w:val="24"/>
                <w:szCs w:val="24"/>
                <w:highlight w:val="none"/>
              </w:rPr>
              <w:t>，</w:t>
            </w:r>
            <w:r>
              <w:rPr>
                <w:rFonts w:hint="eastAsia" w:hAnsi="Times New Roman"/>
                <w:caps w:val="0"/>
                <w:smallCaps w:val="0"/>
                <w:color w:val="auto"/>
                <w:sz w:val="24"/>
                <w:szCs w:val="24"/>
                <w:highlight w:val="none"/>
                <w:lang w:eastAsia="zh-CN"/>
              </w:rPr>
              <w:t>占标率</w:t>
            </w:r>
            <w:r>
              <w:rPr>
                <w:rFonts w:hint="eastAsia" w:ascii="Times New Roman" w:hAnsi="Times New Roman"/>
                <w:caps w:val="0"/>
                <w:smallCaps w:val="0"/>
                <w:color w:val="auto"/>
                <w:sz w:val="24"/>
                <w:szCs w:val="24"/>
                <w:highlight w:val="none"/>
              </w:rPr>
              <w:t>为</w:t>
            </w:r>
            <w:r>
              <w:rPr>
                <w:rFonts w:hint="eastAsia" w:hAnsi="Times New Roman"/>
                <w:caps w:val="0"/>
                <w:smallCaps w:val="0"/>
                <w:color w:val="auto"/>
                <w:sz w:val="24"/>
                <w:szCs w:val="24"/>
                <w:highlight w:val="none"/>
                <w:lang w:val="en-US" w:eastAsia="zh-CN"/>
              </w:rPr>
              <w:t>6.</w:t>
            </w:r>
            <w:r>
              <w:rPr>
                <w:rFonts w:hint="eastAsia"/>
                <w:caps w:val="0"/>
                <w:smallCaps w:val="0"/>
                <w:color w:val="auto"/>
                <w:sz w:val="24"/>
                <w:szCs w:val="24"/>
                <w:highlight w:val="none"/>
                <w:lang w:val="en-US" w:eastAsia="zh-CN"/>
              </w:rPr>
              <w:t>96</w:t>
            </w:r>
            <w:r>
              <w:rPr>
                <w:rFonts w:hint="eastAsia" w:ascii="Times New Roman" w:hAnsi="Times New Roman"/>
                <w:caps w:val="0"/>
                <w:smallCaps w:val="0"/>
                <w:color w:val="auto"/>
                <w:sz w:val="24"/>
                <w:szCs w:val="24"/>
                <w:highlight w:val="none"/>
              </w:rPr>
              <w:t>%</w:t>
            </w:r>
            <w:r>
              <w:rPr>
                <w:rFonts w:hint="eastAsia" w:ascii="Times New Roman" w:hAnsi="Times New Roman"/>
                <w:caps w:val="0"/>
                <w:smallCaps w:val="0"/>
                <w:color w:val="auto"/>
                <w:sz w:val="24"/>
                <w:szCs w:val="24"/>
                <w:highlight w:val="none"/>
                <w:lang w:eastAsia="zh-CN"/>
              </w:rPr>
              <w:t>，对环境影响较小。</w:t>
            </w:r>
          </w:p>
          <w:p>
            <w:pPr>
              <w:pStyle w:val="40"/>
              <w:keepNext w:val="0"/>
              <w:keepLines w:val="0"/>
              <w:pageBreakBefore w:val="0"/>
              <w:widowControl w:val="0"/>
              <w:kinsoku/>
              <w:wordWrap/>
              <w:overflowPunct/>
              <w:topLinePunct w:val="0"/>
              <w:autoSpaceDE/>
              <w:autoSpaceDN/>
              <w:bidi w:val="0"/>
              <w:adjustRightInd w:val="0"/>
              <w:snapToGrid/>
              <w:spacing w:line="480" w:lineRule="exact"/>
              <w:ind w:left="0" w:leftChars="0" w:firstLine="480" w:firstLineChars="200"/>
              <w:jc w:val="both"/>
              <w:textAlignment w:val="auto"/>
              <w:rPr>
                <w:rFonts w:hint="eastAsia" w:ascii="Times New Roman" w:hAnsi="Times New Roman"/>
                <w:color w:val="auto"/>
                <w:w w:val="100"/>
                <w:sz w:val="24"/>
                <w:highlight w:val="none"/>
                <w:lang w:val="en-US" w:eastAsia="zh-CN"/>
              </w:rPr>
            </w:pPr>
            <w:r>
              <w:rPr>
                <w:rFonts w:hint="eastAsia" w:ascii="Times New Roman" w:hAnsi="Times New Roman"/>
                <w:color w:val="auto"/>
                <w:w w:val="100"/>
                <w:sz w:val="24"/>
                <w:highlight w:val="none"/>
                <w:lang w:val="en-US" w:eastAsia="zh-CN"/>
              </w:rPr>
              <w:t>通过调剂可实现该项目污染物排放的倍量削减，对环境质量有改善作用，因此，本项目环境影响可接受。</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ascii="Times New Roman" w:hAnsi="Times New Roman"/>
                <w:color w:val="auto"/>
                <w:w w:val="100"/>
                <w:sz w:val="24"/>
                <w:highlight w:val="none"/>
              </w:rPr>
            </w:pPr>
            <w:r>
              <w:rPr>
                <w:rFonts w:hint="eastAsia" w:ascii="Times New Roman" w:hAnsi="Times New Roman"/>
                <w:b w:val="0"/>
                <w:bCs/>
                <w:caps w:val="0"/>
                <w:smallCaps w:val="0"/>
                <w:color w:val="auto"/>
                <w:sz w:val="24"/>
                <w:szCs w:val="24"/>
                <w:highlight w:val="none"/>
              </w:rPr>
              <w:t>（2）大气环境防护距离</w:t>
            </w:r>
            <w:r>
              <w:rPr>
                <w:rFonts w:hint="eastAsia"/>
                <w:b w:val="0"/>
                <w:bCs/>
                <w:caps w:val="0"/>
                <w:smallCaps w:val="0"/>
                <w:color w:val="auto"/>
                <w:sz w:val="24"/>
                <w:szCs w:val="24"/>
                <w:highlight w:val="none"/>
                <w:lang w:eastAsia="zh-CN"/>
              </w:rPr>
              <w:t>：</w:t>
            </w:r>
            <w:r>
              <w:rPr>
                <w:rFonts w:hint="default" w:ascii="Times New Roman" w:hAnsi="Times New Roman" w:eastAsia="宋体" w:cs="Times New Roman"/>
                <w:snapToGrid w:val="0"/>
                <w:color w:val="auto"/>
                <w:sz w:val="24"/>
                <w:highlight w:val="none"/>
              </w:rPr>
              <w:t>根据《环境影响评价技术导则－大气环境》（HJ2.2-2018）所述“对于项目厂界浓度满足大气污染物厂界限值，但厂界外大气污染物短期贡献浓度超过环境质量标准浓度限值的，可以自厂界向外设置一定范围的大气环境防护区域，以确保大气环境防护区域外的污染物贡献浓度满足环境质量标准。”根据表2</w:t>
            </w:r>
            <w:r>
              <w:rPr>
                <w:rFonts w:hint="eastAsia" w:ascii="Times New Roman" w:hAnsi="Times New Roman" w:eastAsia="宋体" w:cs="Times New Roman"/>
                <w:snapToGrid w:val="0"/>
                <w:color w:val="auto"/>
                <w:sz w:val="24"/>
                <w:highlight w:val="none"/>
                <w:lang w:val="en-US" w:eastAsia="zh-CN"/>
              </w:rPr>
              <w:t>7</w:t>
            </w:r>
            <w:r>
              <w:rPr>
                <w:rFonts w:hint="default" w:ascii="Times New Roman" w:hAnsi="Times New Roman" w:eastAsia="宋体" w:cs="Times New Roman"/>
                <w:snapToGrid w:val="0"/>
                <w:color w:val="auto"/>
                <w:sz w:val="24"/>
                <w:highlight w:val="none"/>
              </w:rPr>
              <w:t>可知，本项目各污染源所排放的污染物在厂界外下风向短期贡献浓度最大值可满足环境质量标准浓度限值，因此本项目不需要设置大气环境防护距离。</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Times New Roman" w:hAnsi="Times New Roman"/>
                <w:color w:val="auto"/>
                <w:w w:val="100"/>
                <w:sz w:val="24"/>
                <w:highlight w:val="none"/>
              </w:rPr>
            </w:pPr>
            <w:r>
              <w:rPr>
                <w:rFonts w:hint="eastAsia" w:ascii="Times New Roman" w:hAnsi="Times New Roman"/>
                <w:color w:val="auto"/>
                <w:w w:val="100"/>
                <w:sz w:val="24"/>
                <w:highlight w:val="none"/>
                <w:lang w:val="en-US" w:eastAsia="zh-CN"/>
              </w:rPr>
              <w:t>3</w:t>
            </w:r>
            <w:r>
              <w:rPr>
                <w:rFonts w:ascii="Times New Roman" w:hAnsi="Times New Roman"/>
                <w:color w:val="auto"/>
                <w:w w:val="100"/>
                <w:sz w:val="24"/>
                <w:highlight w:val="none"/>
              </w:rPr>
              <w:t>）污染物排放量核算结果</w:t>
            </w:r>
            <w:r>
              <w:rPr>
                <w:rFonts w:hint="eastAsia"/>
                <w:color w:val="auto"/>
                <w:w w:val="100"/>
                <w:sz w:val="24"/>
                <w:highlight w:val="none"/>
                <w:lang w:eastAsia="zh-CN"/>
              </w:rPr>
              <w:t>：</w:t>
            </w:r>
            <w:r>
              <w:rPr>
                <w:rFonts w:ascii="Times New Roman" w:hAnsi="Times New Roman"/>
                <w:color w:val="auto"/>
                <w:w w:val="100"/>
                <w:sz w:val="24"/>
                <w:highlight w:val="none"/>
              </w:rPr>
              <w:t>本项目污染物排放量核算结果见表</w:t>
            </w:r>
            <w:r>
              <w:rPr>
                <w:rFonts w:hint="eastAsia" w:ascii="Times New Roman" w:hAnsi="Times New Roman"/>
                <w:color w:val="auto"/>
                <w:w w:val="100"/>
                <w:sz w:val="24"/>
                <w:highlight w:val="none"/>
                <w:lang w:val="en-US" w:eastAsia="zh-CN"/>
              </w:rPr>
              <w:t>2</w:t>
            </w:r>
            <w:r>
              <w:rPr>
                <w:rFonts w:hint="eastAsia"/>
                <w:color w:val="auto"/>
                <w:w w:val="100"/>
                <w:sz w:val="24"/>
                <w:highlight w:val="none"/>
                <w:lang w:val="en-US" w:eastAsia="zh-CN"/>
              </w:rPr>
              <w:t>5</w:t>
            </w:r>
            <w:r>
              <w:rPr>
                <w:rFonts w:hint="eastAsia" w:ascii="Times New Roman" w:hAnsi="Times New Roman"/>
                <w:color w:val="auto"/>
                <w:w w:val="100"/>
                <w:sz w:val="24"/>
                <w:highlight w:val="none"/>
                <w:lang w:val="en-US" w:eastAsia="zh-CN"/>
              </w:rPr>
              <w:t>-表</w:t>
            </w:r>
            <w:r>
              <w:rPr>
                <w:rFonts w:hint="eastAsia"/>
                <w:color w:val="auto"/>
                <w:w w:val="100"/>
                <w:sz w:val="24"/>
                <w:highlight w:val="none"/>
                <w:lang w:val="en-US" w:eastAsia="zh-CN"/>
              </w:rPr>
              <w:t>27</w:t>
            </w:r>
            <w:r>
              <w:rPr>
                <w:rFonts w:ascii="Times New Roman" w:hAnsi="Times New Roman"/>
                <w:color w:val="auto"/>
                <w:w w:val="100"/>
                <w:sz w:val="24"/>
                <w:highlight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Times New Roman" w:hAnsi="Times New Roman"/>
                <w:color w:val="auto"/>
                <w:w w:val="100"/>
                <w:sz w:val="24"/>
                <w:highlight w:val="none"/>
              </w:rPr>
            </w:pPr>
            <w:r>
              <w:rPr>
                <w:rFonts w:hint="eastAsia" w:ascii="Times New Roman" w:hAnsi="Times New Roman"/>
                <w:color w:val="auto"/>
                <w:w w:val="100"/>
                <w:sz w:val="24"/>
                <w:highlight w:val="none"/>
                <w:lang w:val="en-US" w:eastAsia="zh-CN"/>
              </w:rPr>
              <w:t>4</w:t>
            </w:r>
            <w:r>
              <w:rPr>
                <w:rFonts w:ascii="Times New Roman" w:hAnsi="Times New Roman"/>
                <w:color w:val="auto"/>
                <w:w w:val="100"/>
                <w:sz w:val="24"/>
                <w:highlight w:val="none"/>
              </w:rPr>
              <w:t>）大气环境影响评价自查表</w:t>
            </w:r>
            <w:r>
              <w:rPr>
                <w:rFonts w:hint="eastAsia"/>
                <w:color w:val="auto"/>
                <w:w w:val="100"/>
                <w:sz w:val="24"/>
                <w:highlight w:val="none"/>
                <w:lang w:eastAsia="zh-CN"/>
              </w:rPr>
              <w:t>：</w:t>
            </w:r>
            <w:r>
              <w:rPr>
                <w:rFonts w:ascii="Times New Roman" w:hAnsi="Times New Roman"/>
                <w:color w:val="auto"/>
                <w:w w:val="100"/>
                <w:sz w:val="24"/>
                <w:highlight w:val="none"/>
              </w:rPr>
              <w:t>本次大气环境影响评价完成后，对大气环境影响评价主要内容与结论进行自查，详见表</w:t>
            </w:r>
            <w:r>
              <w:rPr>
                <w:rFonts w:hint="eastAsia"/>
                <w:color w:val="auto"/>
                <w:w w:val="100"/>
                <w:sz w:val="24"/>
                <w:highlight w:val="none"/>
                <w:lang w:val="en-US" w:eastAsia="zh-CN"/>
              </w:rPr>
              <w:t>29</w:t>
            </w:r>
            <w:r>
              <w:rPr>
                <w:rFonts w:ascii="Times New Roman" w:hAnsi="Times New Roman"/>
                <w:color w:val="auto"/>
                <w:w w:val="100"/>
                <w:sz w:val="24"/>
                <w:highlight w:val="none"/>
              </w:rPr>
              <w:t>。</w:t>
            </w:r>
          </w:p>
          <w:p>
            <w:pPr>
              <w:spacing w:line="440" w:lineRule="exact"/>
              <w:jc w:val="center"/>
              <w:rPr>
                <w:b/>
                <w:color w:val="auto"/>
                <w:sz w:val="24"/>
                <w:highlight w:val="none"/>
              </w:rPr>
            </w:pPr>
            <w:r>
              <w:rPr>
                <w:b/>
                <w:color w:val="auto"/>
                <w:sz w:val="24"/>
                <w:highlight w:val="none"/>
              </w:rPr>
              <w:t>表</w:t>
            </w:r>
            <w:r>
              <w:rPr>
                <w:rFonts w:hint="eastAsia"/>
                <w:b/>
                <w:color w:val="auto"/>
                <w:sz w:val="24"/>
                <w:highlight w:val="none"/>
              </w:rPr>
              <w:t>2</w:t>
            </w:r>
            <w:r>
              <w:rPr>
                <w:rFonts w:hint="eastAsia"/>
                <w:b/>
                <w:color w:val="auto"/>
                <w:sz w:val="24"/>
                <w:highlight w:val="none"/>
                <w:lang w:val="en-US" w:eastAsia="zh-CN"/>
              </w:rPr>
              <w:t>9</w:t>
            </w:r>
            <w:r>
              <w:rPr>
                <w:b/>
                <w:color w:val="auto"/>
                <w:sz w:val="24"/>
                <w:highlight w:val="none"/>
              </w:rPr>
              <w:t xml:space="preserve">   建设项目大气环境影响评价自查表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3"/>
              <w:gridCol w:w="1146"/>
              <w:gridCol w:w="881"/>
              <w:gridCol w:w="158"/>
              <w:gridCol w:w="825"/>
              <w:gridCol w:w="286"/>
              <w:gridCol w:w="382"/>
              <w:gridCol w:w="233"/>
              <w:gridCol w:w="363"/>
              <w:gridCol w:w="586"/>
              <w:gridCol w:w="103"/>
              <w:gridCol w:w="314"/>
              <w:gridCol w:w="216"/>
              <w:gridCol w:w="187"/>
              <w:gridCol w:w="114"/>
              <w:gridCol w:w="175"/>
              <w:gridCol w:w="260"/>
              <w:gridCol w:w="228"/>
              <w:gridCol w:w="2"/>
              <w:gridCol w:w="1093"/>
              <w:gridCol w:w="6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86"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工作内容</w:t>
                  </w:r>
                </w:p>
              </w:tc>
              <w:tc>
                <w:tcPr>
                  <w:tcW w:w="5482" w:type="dxa"/>
                  <w:gridSpan w:val="1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自查项目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restart"/>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评价等级与范围</w:t>
                  </w:r>
                </w:p>
              </w:tc>
              <w:tc>
                <w:tcPr>
                  <w:tcW w:w="1809"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评价等级</w:t>
                  </w:r>
                </w:p>
              </w:tc>
              <w:tc>
                <w:tcPr>
                  <w:tcW w:w="1680" w:type="dxa"/>
                  <w:gridSpan w:val="5"/>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一级 □</w:t>
                  </w:r>
                </w:p>
              </w:tc>
              <w:tc>
                <w:tcPr>
                  <w:tcW w:w="1579" w:type="dxa"/>
                  <w:gridSpan w:val="6"/>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二级</w:t>
                  </w:r>
                  <w:r>
                    <w:rPr>
                      <w:rFonts w:hint="eastAsia" w:ascii="Times New Roman" w:hAnsi="Times New Roman" w:cs="Times New Roman"/>
                      <w:color w:val="auto"/>
                      <w:w w:val="100"/>
                      <w:sz w:val="18"/>
                      <w:szCs w:val="18"/>
                      <w:highlight w:val="none"/>
                      <w:shd w:val="clear" w:color="auto" w:fill="auto"/>
                      <w:lang w:eastAsia="zh-CN"/>
                    </w:rPr>
                    <w:t>☑</w:t>
                  </w:r>
                </w:p>
              </w:tc>
              <w:tc>
                <w:tcPr>
                  <w:tcW w:w="2223" w:type="dxa"/>
                  <w:gridSpan w:val="7"/>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三级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809"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评价范围</w:t>
                  </w:r>
                </w:p>
              </w:tc>
              <w:tc>
                <w:tcPr>
                  <w:tcW w:w="1680" w:type="dxa"/>
                  <w:gridSpan w:val="5"/>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边长=50km □</w:t>
                  </w:r>
                </w:p>
              </w:tc>
              <w:tc>
                <w:tcPr>
                  <w:tcW w:w="1579" w:type="dxa"/>
                  <w:gridSpan w:val="6"/>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 xml:space="preserve">边长5～50km </w:t>
                  </w:r>
                </w:p>
              </w:tc>
              <w:tc>
                <w:tcPr>
                  <w:tcW w:w="2223" w:type="dxa"/>
                  <w:gridSpan w:val="7"/>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边长=5km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77" w:type="dxa"/>
                  <w:vMerge w:val="restart"/>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因子</w:t>
                  </w:r>
                </w:p>
              </w:tc>
              <w:tc>
                <w:tcPr>
                  <w:tcW w:w="1809"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SO</w:t>
                  </w:r>
                  <w:r>
                    <w:rPr>
                      <w:rFonts w:hint="default" w:ascii="Times New Roman" w:hAnsi="Times New Roman" w:cs="Times New Roman"/>
                      <w:color w:val="auto"/>
                      <w:w w:val="100"/>
                      <w:sz w:val="18"/>
                      <w:szCs w:val="18"/>
                      <w:highlight w:val="none"/>
                      <w:shd w:val="clear" w:color="auto" w:fill="auto"/>
                      <w:vertAlign w:val="subscript"/>
                    </w:rPr>
                    <w:t>2</w:t>
                  </w:r>
                  <w:r>
                    <w:rPr>
                      <w:rFonts w:hint="default" w:ascii="Times New Roman" w:hAnsi="Times New Roman" w:cs="Times New Roman"/>
                      <w:color w:val="auto"/>
                      <w:w w:val="100"/>
                      <w:sz w:val="18"/>
                      <w:szCs w:val="18"/>
                      <w:highlight w:val="none"/>
                      <w:shd w:val="clear" w:color="auto" w:fill="auto"/>
                    </w:rPr>
                    <w:t>+NOx排放量</w:t>
                  </w:r>
                </w:p>
              </w:tc>
              <w:tc>
                <w:tcPr>
                  <w:tcW w:w="1680" w:type="dxa"/>
                  <w:gridSpan w:val="5"/>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≥2000t/a □</w:t>
                  </w:r>
                </w:p>
              </w:tc>
              <w:tc>
                <w:tcPr>
                  <w:tcW w:w="1579" w:type="dxa"/>
                  <w:gridSpan w:val="6"/>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500～2000t/a □</w:t>
                  </w:r>
                </w:p>
              </w:tc>
              <w:tc>
                <w:tcPr>
                  <w:tcW w:w="2223" w:type="dxa"/>
                  <w:gridSpan w:val="7"/>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&lt;500t/a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877" w:type="dxa"/>
                  <w:vMerge w:val="continue"/>
                  <w:tcBorders>
                    <w:tl2br w:val="nil"/>
                    <w:tr2bl w:val="nil"/>
                  </w:tcBorders>
                  <w:noWrap w:val="0"/>
                  <w:vAlign w:val="center"/>
                </w:tcPr>
                <w:p>
                  <w:pPr>
                    <w:spacing w:line="0" w:lineRule="atLeast"/>
                    <w:ind w:firstLine="482"/>
                    <w:jc w:val="center"/>
                    <w:rPr>
                      <w:rFonts w:hint="default" w:ascii="Times New Roman" w:hAnsi="Times New Roman" w:cs="Times New Roman"/>
                      <w:b/>
                      <w:bCs/>
                      <w:color w:val="auto"/>
                      <w:w w:val="100"/>
                      <w:sz w:val="18"/>
                      <w:szCs w:val="18"/>
                      <w:highlight w:val="none"/>
                      <w:shd w:val="clear" w:color="auto" w:fill="auto"/>
                    </w:rPr>
                  </w:pPr>
                </w:p>
              </w:tc>
              <w:tc>
                <w:tcPr>
                  <w:tcW w:w="1809" w:type="dxa"/>
                  <w:gridSpan w:val="2"/>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评价因子</w:t>
                  </w:r>
                </w:p>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2899" w:type="dxa"/>
                  <w:gridSpan w:val="9"/>
                  <w:tcBorders>
                    <w:tl2br w:val="nil"/>
                    <w:tr2bl w:val="nil"/>
                  </w:tcBorders>
                  <w:noWrap w:val="0"/>
                  <w:vAlign w:val="center"/>
                </w:tcPr>
                <w:p>
                  <w:pPr>
                    <w:spacing w:line="0" w:lineRule="atLeast"/>
                    <w:jc w:val="center"/>
                    <w:rPr>
                      <w:rFonts w:hint="default" w:ascii="Times New Roman" w:hAnsi="Times New Roman"/>
                      <w:color w:val="auto"/>
                      <w:w w:val="100"/>
                      <w:sz w:val="18"/>
                      <w:szCs w:val="18"/>
                      <w:highlight w:val="none"/>
                    </w:rPr>
                  </w:pPr>
                  <w:r>
                    <w:rPr>
                      <w:rFonts w:hint="default" w:ascii="Times New Roman" w:hAnsi="Times New Roman"/>
                      <w:color w:val="auto"/>
                      <w:w w:val="100"/>
                      <w:sz w:val="18"/>
                      <w:szCs w:val="18"/>
                      <w:highlight w:val="none"/>
                    </w:rPr>
                    <w:t>基本污染物（</w:t>
                  </w:r>
                  <w:r>
                    <w:rPr>
                      <w:rFonts w:hint="eastAsia" w:ascii="Times New Roman" w:hAnsi="Times New Roman"/>
                      <w:color w:val="auto"/>
                      <w:w w:val="100"/>
                      <w:sz w:val="18"/>
                      <w:szCs w:val="18"/>
                      <w:highlight w:val="none"/>
                      <w:lang w:val="en-US" w:eastAsia="zh-CN"/>
                    </w:rPr>
                    <w:t>PM</w:t>
                  </w:r>
                  <w:r>
                    <w:rPr>
                      <w:rFonts w:hint="eastAsia" w:ascii="Times New Roman" w:hAnsi="Times New Roman"/>
                      <w:color w:val="auto"/>
                      <w:w w:val="100"/>
                      <w:sz w:val="18"/>
                      <w:szCs w:val="18"/>
                      <w:highlight w:val="none"/>
                      <w:vertAlign w:val="subscript"/>
                      <w:lang w:val="en-US" w:eastAsia="zh-CN"/>
                    </w:rPr>
                    <w:t>10</w:t>
                  </w:r>
                  <w:r>
                    <w:rPr>
                      <w:rFonts w:hint="default" w:ascii="Times New Roman" w:hAnsi="Times New Roman"/>
                      <w:color w:val="auto"/>
                      <w:w w:val="100"/>
                      <w:sz w:val="18"/>
                      <w:szCs w:val="18"/>
                      <w:highlight w:val="none"/>
                    </w:rPr>
                    <w:t>）</w:t>
                  </w:r>
                </w:p>
                <w:p>
                  <w:pPr>
                    <w:pStyle w:val="40"/>
                    <w:rPr>
                      <w:rFonts w:hint="eastAsia" w:ascii="Times New Roman" w:hAnsi="Times New Roman" w:eastAsia="宋体"/>
                      <w:color w:val="auto"/>
                      <w:w w:val="100"/>
                      <w:highlight w:val="none"/>
                      <w:lang w:eastAsia="zh-CN"/>
                    </w:rPr>
                  </w:pPr>
                  <w:r>
                    <w:rPr>
                      <w:rFonts w:hint="eastAsia" w:ascii="Times New Roman" w:hAnsi="Times New Roman" w:cs="Times New Roman"/>
                      <w:color w:val="auto"/>
                      <w:w w:val="100"/>
                      <w:sz w:val="18"/>
                      <w:szCs w:val="18"/>
                      <w:highlight w:val="none"/>
                      <w:shd w:val="clear" w:color="auto" w:fill="auto"/>
                      <w:lang w:eastAsia="zh-CN"/>
                    </w:rPr>
                    <w:t>特征污染物（</w:t>
                  </w:r>
                  <w:r>
                    <w:rPr>
                      <w:rFonts w:hint="eastAsia" w:ascii="Times New Roman" w:hAnsi="Times New Roman" w:cs="Times New Roman"/>
                      <w:color w:val="auto"/>
                      <w:w w:val="100"/>
                      <w:sz w:val="18"/>
                      <w:szCs w:val="18"/>
                      <w:highlight w:val="none"/>
                      <w:shd w:val="clear" w:color="auto" w:fill="auto"/>
                      <w:lang w:val="en-US" w:eastAsia="zh-CN"/>
                    </w:rPr>
                    <w:t>TSP</w:t>
                  </w:r>
                  <w:r>
                    <w:rPr>
                      <w:rFonts w:hint="eastAsia" w:ascii="Times New Roman" w:hAnsi="Times New Roman" w:cs="Times New Roman"/>
                      <w:color w:val="auto"/>
                      <w:w w:val="100"/>
                      <w:sz w:val="18"/>
                      <w:szCs w:val="18"/>
                      <w:highlight w:val="none"/>
                      <w:shd w:val="clear" w:color="auto" w:fill="auto"/>
                      <w:lang w:eastAsia="zh-CN"/>
                    </w:rPr>
                    <w:t>）</w:t>
                  </w:r>
                </w:p>
              </w:tc>
              <w:tc>
                <w:tcPr>
                  <w:tcW w:w="2583" w:type="dxa"/>
                  <w:gridSpan w:val="9"/>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 xml:space="preserve">  包括二次PM2.5□</w:t>
                  </w:r>
                </w:p>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 xml:space="preserve">不包括二次PM2.5 </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w:t>
                  </w:r>
                </w:p>
                <w:p>
                  <w:pPr>
                    <w:spacing w:line="0" w:lineRule="atLeast"/>
                    <w:jc w:val="center"/>
                    <w:rPr>
                      <w:rFonts w:hint="default" w:ascii="Times New Roman" w:hAnsi="Times New Roman" w:cs="Times New Roman"/>
                      <w:b/>
                      <w:bCs/>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标准</w:t>
                  </w:r>
                </w:p>
              </w:tc>
              <w:tc>
                <w:tcPr>
                  <w:tcW w:w="1809"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评价标准</w:t>
                  </w:r>
                </w:p>
              </w:tc>
              <w:tc>
                <w:tcPr>
                  <w:tcW w:w="1472" w:type="dxa"/>
                  <w:gridSpan w:val="4"/>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国家标准</w:t>
                  </w:r>
                  <w:r>
                    <w:rPr>
                      <w:rFonts w:hint="eastAsia" w:ascii="Times New Roman" w:hAnsi="Times New Roman" w:cs="Times New Roman"/>
                      <w:color w:val="auto"/>
                      <w:w w:val="100"/>
                      <w:sz w:val="18"/>
                      <w:szCs w:val="18"/>
                      <w:highlight w:val="none"/>
                      <w:shd w:val="clear" w:color="auto" w:fill="auto"/>
                      <w:lang w:eastAsia="zh-CN"/>
                    </w:rPr>
                    <w:t>☑</w:t>
                  </w:r>
                </w:p>
              </w:tc>
              <w:tc>
                <w:tcPr>
                  <w:tcW w:w="1147" w:type="dxa"/>
                  <w:gridSpan w:val="4"/>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地方标准</w:t>
                  </w:r>
                  <w:r>
                    <w:rPr>
                      <w:rFonts w:hint="eastAsia" w:ascii="Times New Roman" w:hAnsi="Times New Roman" w:cs="Times New Roman"/>
                      <w:color w:val="auto"/>
                      <w:w w:val="100"/>
                      <w:sz w:val="18"/>
                      <w:szCs w:val="18"/>
                      <w:highlight w:val="none"/>
                      <w:shd w:val="clear" w:color="auto" w:fill="auto"/>
                      <w:lang w:eastAsia="zh-CN"/>
                    </w:rPr>
                    <w:t>☑</w:t>
                  </w:r>
                </w:p>
              </w:tc>
              <w:tc>
                <w:tcPr>
                  <w:tcW w:w="1130" w:type="dxa"/>
                  <w:gridSpan w:val="6"/>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附录D □</w:t>
                  </w:r>
                </w:p>
              </w:tc>
              <w:tc>
                <w:tcPr>
                  <w:tcW w:w="1733" w:type="dxa"/>
                  <w:gridSpan w:val="4"/>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 xml:space="preserve">其他标准 </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restart"/>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现状</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w:t>
                  </w:r>
                </w:p>
              </w:tc>
              <w:tc>
                <w:tcPr>
                  <w:tcW w:w="1809"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环境功能区</w:t>
                  </w:r>
                </w:p>
              </w:tc>
              <w:tc>
                <w:tcPr>
                  <w:tcW w:w="1680" w:type="dxa"/>
                  <w:gridSpan w:val="5"/>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一类区 □</w:t>
                  </w:r>
                </w:p>
              </w:tc>
              <w:tc>
                <w:tcPr>
                  <w:tcW w:w="1579" w:type="dxa"/>
                  <w:gridSpan w:val="6"/>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二类区</w:t>
                  </w:r>
                  <w:r>
                    <w:rPr>
                      <w:rFonts w:hint="eastAsia" w:ascii="Times New Roman" w:hAnsi="Times New Roman" w:cs="Times New Roman"/>
                      <w:color w:val="auto"/>
                      <w:w w:val="100"/>
                      <w:sz w:val="18"/>
                      <w:szCs w:val="18"/>
                      <w:highlight w:val="none"/>
                      <w:shd w:val="clear" w:color="auto" w:fill="auto"/>
                      <w:lang w:eastAsia="zh-CN"/>
                    </w:rPr>
                    <w:t>☑</w:t>
                  </w:r>
                </w:p>
              </w:tc>
              <w:tc>
                <w:tcPr>
                  <w:tcW w:w="2223" w:type="dxa"/>
                  <w:gridSpan w:val="7"/>
                  <w:tcBorders>
                    <w:tl2br w:val="nil"/>
                    <w:tr2bl w:val="nil"/>
                  </w:tcBorders>
                  <w:noWrap w:val="0"/>
                  <w:vAlign w:val="center"/>
                </w:tcPr>
                <w:p>
                  <w:pPr>
                    <w:spacing w:line="0" w:lineRule="atLeast"/>
                    <w:jc w:val="center"/>
                    <w:rPr>
                      <w:rFonts w:hint="default" w:ascii="Times New Roman" w:hAnsi="Times New Roman" w:cs="Times New Roman"/>
                      <w:b/>
                      <w:bCs/>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一类区和二类区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809"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评价基准年</w:t>
                  </w:r>
                </w:p>
              </w:tc>
              <w:tc>
                <w:tcPr>
                  <w:tcW w:w="5482" w:type="dxa"/>
                  <w:gridSpan w:val="18"/>
                  <w:tcBorders>
                    <w:tl2br w:val="nil"/>
                    <w:tr2bl w:val="nil"/>
                  </w:tcBorders>
                  <w:noWrap w:val="0"/>
                  <w:vAlign w:val="center"/>
                </w:tcPr>
                <w:p>
                  <w:pPr>
                    <w:spacing w:line="0" w:lineRule="atLeast"/>
                    <w:jc w:val="center"/>
                    <w:rPr>
                      <w:rFonts w:hint="default" w:ascii="Times New Roman" w:hAnsi="Times New Roman" w:cs="Times New Roman"/>
                      <w:b/>
                      <w:bCs/>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（201</w:t>
                  </w:r>
                  <w:r>
                    <w:rPr>
                      <w:rFonts w:hint="eastAsia" w:ascii="Times New Roman" w:hAnsi="Times New Roman" w:cs="Times New Roman"/>
                      <w:color w:val="auto"/>
                      <w:w w:val="100"/>
                      <w:sz w:val="18"/>
                      <w:szCs w:val="18"/>
                      <w:highlight w:val="none"/>
                      <w:shd w:val="clear" w:color="auto" w:fill="auto"/>
                      <w:lang w:val="en-US" w:eastAsia="zh-CN"/>
                    </w:rPr>
                    <w:t>9</w:t>
                  </w:r>
                  <w:r>
                    <w:rPr>
                      <w:rFonts w:hint="default" w:ascii="Times New Roman" w:hAnsi="Times New Roman" w:cs="Times New Roman"/>
                      <w:color w:val="auto"/>
                      <w:w w:val="100"/>
                      <w:sz w:val="18"/>
                      <w:szCs w:val="18"/>
                      <w:highlight w:val="none"/>
                      <w:shd w:val="clear" w:color="auto" w:fill="auto"/>
                    </w:rPr>
                    <w:t>）年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809"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环境空气质量</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现状调差数据来源</w:t>
                  </w:r>
                </w:p>
              </w:tc>
              <w:tc>
                <w:tcPr>
                  <w:tcW w:w="2004" w:type="dxa"/>
                  <w:gridSpan w:val="6"/>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长期例行监测数据</w:t>
                  </w:r>
                  <w:r>
                    <w:rPr>
                      <w:rFonts w:hint="eastAsia" w:ascii="Times New Roman" w:hAnsi="Times New Roman" w:cs="Times New Roman"/>
                      <w:color w:val="auto"/>
                      <w:w w:val="100"/>
                      <w:sz w:val="18"/>
                      <w:szCs w:val="18"/>
                      <w:highlight w:val="none"/>
                      <w:shd w:val="clear" w:color="auto" w:fill="auto"/>
                      <w:lang w:eastAsia="zh-CN"/>
                    </w:rPr>
                    <w:t>☑</w:t>
                  </w:r>
                </w:p>
              </w:tc>
              <w:tc>
                <w:tcPr>
                  <w:tcW w:w="1948" w:type="dxa"/>
                  <w:gridSpan w:val="9"/>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主管部门发布的数据□</w:t>
                  </w:r>
                </w:p>
              </w:tc>
              <w:tc>
                <w:tcPr>
                  <w:tcW w:w="1530" w:type="dxa"/>
                  <w:gridSpan w:val="3"/>
                  <w:tcBorders>
                    <w:tl2br w:val="nil"/>
                    <w:tr2bl w:val="nil"/>
                  </w:tcBorders>
                  <w:noWrap w:val="0"/>
                  <w:vAlign w:val="center"/>
                </w:tcPr>
                <w:p>
                  <w:pPr>
                    <w:spacing w:line="0" w:lineRule="atLeast"/>
                    <w:jc w:val="center"/>
                    <w:rPr>
                      <w:rFonts w:hint="eastAsia" w:ascii="Times New Roman" w:hAnsi="Times New Roman" w:eastAsia="宋体" w:cs="Times New Roman"/>
                      <w:b/>
                      <w:bCs/>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 xml:space="preserve">现状补充监测 </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809"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现状评价</w:t>
                  </w:r>
                </w:p>
              </w:tc>
              <w:tc>
                <w:tcPr>
                  <w:tcW w:w="2899" w:type="dxa"/>
                  <w:gridSpan w:val="9"/>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达标区□</w:t>
                  </w:r>
                </w:p>
              </w:tc>
              <w:tc>
                <w:tcPr>
                  <w:tcW w:w="2583" w:type="dxa"/>
                  <w:gridSpan w:val="9"/>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 xml:space="preserve">不达标区 </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877" w:type="dxa"/>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污染源</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调查</w:t>
                  </w:r>
                </w:p>
              </w:tc>
              <w:tc>
                <w:tcPr>
                  <w:tcW w:w="1023" w:type="dxa"/>
                  <w:tcBorders>
                    <w:tl2br w:val="nil"/>
                    <w:tr2bl w:val="nil"/>
                  </w:tcBorders>
                  <w:noWrap w:val="0"/>
                  <w:vAlign w:val="center"/>
                </w:tcPr>
                <w:p>
                  <w:pPr>
                    <w:spacing w:line="0" w:lineRule="atLeast"/>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调查内容</w:t>
                  </w:r>
                </w:p>
              </w:tc>
              <w:tc>
                <w:tcPr>
                  <w:tcW w:w="2258" w:type="dxa"/>
                  <w:gridSpan w:val="5"/>
                  <w:tcBorders>
                    <w:tl2br w:val="nil"/>
                    <w:tr2bl w:val="nil"/>
                  </w:tcBorders>
                  <w:noWrap w:val="0"/>
                  <w:vAlign w:val="center"/>
                </w:tcPr>
                <w:p>
                  <w:pPr>
                    <w:spacing w:line="0" w:lineRule="atLeast"/>
                    <w:jc w:val="right"/>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本项目正常排放源 □</w:t>
                  </w:r>
                </w:p>
                <w:p>
                  <w:pPr>
                    <w:spacing w:line="0" w:lineRule="atLeast"/>
                    <w:jc w:val="right"/>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本项目非正常排放源 □</w:t>
                  </w:r>
                </w:p>
                <w:p>
                  <w:pPr>
                    <w:spacing w:line="0" w:lineRule="atLeast"/>
                    <w:jc w:val="right"/>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现有污染源□</w:t>
                  </w:r>
                </w:p>
              </w:tc>
              <w:tc>
                <w:tcPr>
                  <w:tcW w:w="1427" w:type="dxa"/>
                  <w:gridSpan w:val="5"/>
                  <w:tcBorders>
                    <w:tl2br w:val="nil"/>
                    <w:tr2bl w:val="nil"/>
                  </w:tcBorders>
                  <w:noWrap w:val="0"/>
                  <w:vAlign w:val="center"/>
                </w:tcPr>
                <w:p>
                  <w:pPr>
                    <w:spacing w:line="0" w:lineRule="atLeast"/>
                    <w:jc w:val="both"/>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拟替代的污染源□</w:t>
                  </w:r>
                </w:p>
              </w:tc>
              <w:tc>
                <w:tcPr>
                  <w:tcW w:w="1055" w:type="dxa"/>
                  <w:gridSpan w:val="7"/>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其他在建、拟建项目污染源□</w:t>
                  </w:r>
                </w:p>
              </w:tc>
              <w:tc>
                <w:tcPr>
                  <w:tcW w:w="1528"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区域污染源□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7" w:type="dxa"/>
                  <w:vMerge w:val="restart"/>
                  <w:tcBorders>
                    <w:tl2br w:val="nil"/>
                    <w:tr2bl w:val="nil"/>
                  </w:tcBorders>
                  <w:noWrap w:val="0"/>
                  <w:vAlign w:val="center"/>
                </w:tcPr>
                <w:p>
                  <w:pPr>
                    <w:spacing w:line="0" w:lineRule="atLeast"/>
                    <w:ind w:firstLine="720" w:firstLineChars="400"/>
                    <w:jc w:val="center"/>
                    <w:rPr>
                      <w:rFonts w:hint="default" w:ascii="Times New Roman" w:hAnsi="Times New Roman" w:cs="Times New Roman"/>
                      <w:color w:val="auto"/>
                      <w:w w:val="100"/>
                      <w:sz w:val="18"/>
                      <w:szCs w:val="18"/>
                      <w:highlight w:val="none"/>
                      <w:shd w:val="clear" w:color="auto" w:fill="auto"/>
                    </w:rPr>
                  </w:pP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大气环境影响预测与评价</w:t>
                  </w:r>
                </w:p>
              </w:tc>
              <w:tc>
                <w:tcPr>
                  <w:tcW w:w="1023" w:type="dxa"/>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预测模型</w:t>
                  </w:r>
                </w:p>
              </w:tc>
              <w:tc>
                <w:tcPr>
                  <w:tcW w:w="927"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AERMOD</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w:t>
                  </w:r>
                </w:p>
              </w:tc>
              <w:tc>
                <w:tcPr>
                  <w:tcW w:w="736" w:type="dxa"/>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ADMS</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w:t>
                  </w:r>
                </w:p>
              </w:tc>
              <w:tc>
                <w:tcPr>
                  <w:tcW w:w="1128" w:type="dxa"/>
                  <w:gridSpan w:val="4"/>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AUSTAL2000</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w:t>
                  </w:r>
                </w:p>
              </w:tc>
              <w:tc>
                <w:tcPr>
                  <w:tcW w:w="1088" w:type="dxa"/>
                  <w:gridSpan w:val="4"/>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EDMS/AEDF</w:t>
                  </w:r>
                </w:p>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w:t>
                  </w:r>
                </w:p>
              </w:tc>
              <w:tc>
                <w:tcPr>
                  <w:tcW w:w="861" w:type="dxa"/>
                  <w:gridSpan w:val="6"/>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CALPIFF</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w:t>
                  </w:r>
                </w:p>
              </w:tc>
              <w:tc>
                <w:tcPr>
                  <w:tcW w:w="975" w:type="dxa"/>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网络模型</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w:t>
                  </w:r>
                </w:p>
              </w:tc>
              <w:tc>
                <w:tcPr>
                  <w:tcW w:w="553" w:type="dxa"/>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其他</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预测范围</w:t>
                  </w:r>
                </w:p>
              </w:tc>
              <w:tc>
                <w:tcPr>
                  <w:tcW w:w="1540" w:type="dxa"/>
                  <w:gridSpan w:val="4"/>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边长≥50km □</w:t>
                  </w:r>
                </w:p>
              </w:tc>
              <w:tc>
                <w:tcPr>
                  <w:tcW w:w="1837"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边长5～50km □</w:t>
                  </w:r>
                </w:p>
              </w:tc>
              <w:tc>
                <w:tcPr>
                  <w:tcW w:w="1964" w:type="dxa"/>
                  <w:gridSpan w:val="5"/>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 xml:space="preserve">边长=5km  </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预测因子</w:t>
                  </w:r>
                </w:p>
              </w:tc>
              <w:tc>
                <w:tcPr>
                  <w:tcW w:w="2952" w:type="dxa"/>
                  <w:gridSpan w:val="9"/>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预测因子（</w:t>
                  </w:r>
                  <w:r>
                    <w:rPr>
                      <w:rFonts w:hint="eastAsia" w:ascii="Times New Roman" w:hAnsi="Times New Roman" w:cs="Times New Roman"/>
                      <w:color w:val="auto"/>
                      <w:w w:val="100"/>
                      <w:sz w:val="18"/>
                      <w:szCs w:val="18"/>
                      <w:highlight w:val="none"/>
                      <w:shd w:val="clear" w:color="auto" w:fill="auto"/>
                      <w:lang w:val="en-US" w:eastAsia="zh-CN"/>
                    </w:rPr>
                    <w:t>PM</w:t>
                  </w:r>
                  <w:r>
                    <w:rPr>
                      <w:rFonts w:hint="eastAsia" w:ascii="Times New Roman" w:hAnsi="Times New Roman" w:cs="Times New Roman"/>
                      <w:color w:val="auto"/>
                      <w:w w:val="100"/>
                      <w:sz w:val="18"/>
                      <w:szCs w:val="18"/>
                      <w:highlight w:val="none"/>
                      <w:shd w:val="clear" w:color="auto" w:fill="auto"/>
                      <w:vertAlign w:val="subscript"/>
                      <w:lang w:val="en-US" w:eastAsia="zh-CN"/>
                    </w:rPr>
                    <w:t>10</w:t>
                  </w:r>
                  <w:r>
                    <w:rPr>
                      <w:rFonts w:hint="eastAsia" w:ascii="Times New Roman" w:hAnsi="Times New Roman" w:cs="Times New Roman"/>
                      <w:color w:val="auto"/>
                      <w:w w:val="100"/>
                      <w:sz w:val="18"/>
                      <w:szCs w:val="18"/>
                      <w:highlight w:val="none"/>
                      <w:shd w:val="clear" w:color="auto" w:fill="auto"/>
                      <w:lang w:val="en-US" w:eastAsia="zh-CN"/>
                    </w:rPr>
                    <w:t>、TSP</w:t>
                  </w:r>
                  <w:r>
                    <w:rPr>
                      <w:rFonts w:hint="default" w:ascii="Times New Roman" w:hAnsi="Times New Roman" w:cs="Times New Roman"/>
                      <w:color w:val="auto"/>
                      <w:w w:val="100"/>
                      <w:sz w:val="18"/>
                      <w:szCs w:val="18"/>
                      <w:highlight w:val="none"/>
                      <w:shd w:val="clear" w:color="auto" w:fill="auto"/>
                    </w:rPr>
                    <w:t>）</w:t>
                  </w:r>
                </w:p>
              </w:tc>
              <w:tc>
                <w:tcPr>
                  <w:tcW w:w="2389"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 xml:space="preserve">  包括二次PM2.5 □ </w:t>
                  </w:r>
                </w:p>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 xml:space="preserve">不包括二次PM2.5 </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正常排放短期浓度</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贡献值</w:t>
                  </w:r>
                </w:p>
              </w:tc>
              <w:tc>
                <w:tcPr>
                  <w:tcW w:w="2952" w:type="dxa"/>
                  <w:gridSpan w:val="9"/>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本项目</w:t>
                  </w:r>
                  <w:r>
                    <w:rPr>
                      <w:rFonts w:hint="default" w:ascii="Times New Roman" w:hAnsi="Times New Roman" w:cs="Times New Roman"/>
                      <w:color w:val="auto"/>
                      <w:w w:val="100"/>
                      <w:sz w:val="18"/>
                      <w:szCs w:val="18"/>
                      <w:highlight w:val="none"/>
                      <w:shd w:val="clear" w:color="auto" w:fill="auto"/>
                    </w:rPr>
                    <w:t xml:space="preserve">最大占标率≤100% </w:t>
                  </w:r>
                  <w:r>
                    <w:rPr>
                      <w:rFonts w:hint="eastAsia" w:ascii="Times New Roman" w:hAnsi="Times New Roman" w:cs="Times New Roman"/>
                      <w:color w:val="auto"/>
                      <w:w w:val="100"/>
                      <w:sz w:val="18"/>
                      <w:szCs w:val="18"/>
                      <w:highlight w:val="none"/>
                      <w:shd w:val="clear" w:color="auto" w:fill="auto"/>
                      <w:lang w:eastAsia="zh-CN"/>
                    </w:rPr>
                    <w:t>☑</w:t>
                  </w:r>
                </w:p>
              </w:tc>
              <w:tc>
                <w:tcPr>
                  <w:tcW w:w="2389"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本项目</w:t>
                  </w:r>
                  <w:r>
                    <w:rPr>
                      <w:rFonts w:hint="default" w:ascii="Times New Roman" w:hAnsi="Times New Roman" w:cs="Times New Roman"/>
                      <w:color w:val="auto"/>
                      <w:w w:val="100"/>
                      <w:sz w:val="18"/>
                      <w:szCs w:val="18"/>
                      <w:highlight w:val="none"/>
                      <w:shd w:val="clear" w:color="auto" w:fill="auto"/>
                    </w:rPr>
                    <w:t>最大占标率&gt;100%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vMerge w:val="restart"/>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正常排放年均浓度</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贡献值</w:t>
                  </w:r>
                </w:p>
              </w:tc>
              <w:tc>
                <w:tcPr>
                  <w:tcW w:w="736" w:type="dxa"/>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一类区</w:t>
                  </w:r>
                </w:p>
              </w:tc>
              <w:tc>
                <w:tcPr>
                  <w:tcW w:w="2216"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本项目</w:t>
                  </w:r>
                  <w:r>
                    <w:rPr>
                      <w:rFonts w:hint="default" w:ascii="Times New Roman" w:hAnsi="Times New Roman" w:cs="Times New Roman"/>
                      <w:color w:val="auto"/>
                      <w:w w:val="100"/>
                      <w:sz w:val="18"/>
                      <w:szCs w:val="18"/>
                      <w:highlight w:val="none"/>
                      <w:shd w:val="clear" w:color="auto" w:fill="auto"/>
                    </w:rPr>
                    <w:t>最大占标率≤10%□</w:t>
                  </w:r>
                </w:p>
              </w:tc>
              <w:tc>
                <w:tcPr>
                  <w:tcW w:w="2389"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本项目</w:t>
                  </w:r>
                  <w:r>
                    <w:rPr>
                      <w:rFonts w:hint="default" w:ascii="Times New Roman" w:hAnsi="Times New Roman" w:cs="Times New Roman"/>
                      <w:color w:val="auto"/>
                      <w:w w:val="100"/>
                      <w:sz w:val="18"/>
                      <w:szCs w:val="18"/>
                      <w:highlight w:val="none"/>
                      <w:shd w:val="clear" w:color="auto" w:fill="auto"/>
                    </w:rPr>
                    <w:t>最大占标率&gt;10%□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736" w:type="dxa"/>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二类区</w:t>
                  </w:r>
                </w:p>
              </w:tc>
              <w:tc>
                <w:tcPr>
                  <w:tcW w:w="2216"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本项目</w:t>
                  </w:r>
                  <w:r>
                    <w:rPr>
                      <w:rFonts w:hint="default" w:ascii="Times New Roman" w:hAnsi="Times New Roman" w:cs="Times New Roman"/>
                      <w:color w:val="auto"/>
                      <w:w w:val="100"/>
                      <w:sz w:val="18"/>
                      <w:szCs w:val="18"/>
                      <w:highlight w:val="none"/>
                      <w:shd w:val="clear" w:color="auto" w:fill="auto"/>
                    </w:rPr>
                    <w:t>最大占标率≤30% □</w:t>
                  </w:r>
                </w:p>
              </w:tc>
              <w:tc>
                <w:tcPr>
                  <w:tcW w:w="2389"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本项目</w:t>
                  </w:r>
                  <w:r>
                    <w:rPr>
                      <w:rFonts w:hint="default" w:ascii="Times New Roman" w:hAnsi="Times New Roman" w:cs="Times New Roman"/>
                      <w:color w:val="auto"/>
                      <w:w w:val="100"/>
                      <w:sz w:val="18"/>
                      <w:szCs w:val="18"/>
                      <w:highlight w:val="none"/>
                      <w:shd w:val="clear" w:color="auto" w:fill="auto"/>
                    </w:rPr>
                    <w:t>最大占标率&gt;30%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非正常浓度1h浓度</w:t>
                  </w:r>
                </w:p>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贡献值</w:t>
                  </w:r>
                </w:p>
              </w:tc>
              <w:tc>
                <w:tcPr>
                  <w:tcW w:w="1332"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非正常持续时长（</w:t>
                  </w:r>
                  <w:r>
                    <w:rPr>
                      <w:rFonts w:hint="eastAsia" w:ascii="Times New Roman" w:hAnsi="Times New Roman" w:cs="Times New Roman"/>
                      <w:color w:val="auto"/>
                      <w:w w:val="100"/>
                      <w:sz w:val="18"/>
                      <w:szCs w:val="18"/>
                      <w:highlight w:val="none"/>
                      <w:shd w:val="clear" w:color="auto" w:fill="auto"/>
                      <w:lang w:val="en-US" w:eastAsia="zh-CN"/>
                    </w:rPr>
                    <w:t>1</w:t>
                  </w:r>
                  <w:r>
                    <w:rPr>
                      <w:rFonts w:hint="default" w:ascii="Times New Roman" w:hAnsi="Times New Roman" w:cs="Times New Roman"/>
                      <w:color w:val="auto"/>
                      <w:w w:val="100"/>
                      <w:sz w:val="18"/>
                      <w:szCs w:val="18"/>
                      <w:highlight w:val="none"/>
                      <w:shd w:val="clear" w:color="auto" w:fill="auto"/>
                    </w:rPr>
                    <w:t>）h</w:t>
                  </w:r>
                </w:p>
              </w:tc>
              <w:tc>
                <w:tcPr>
                  <w:tcW w:w="1889"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非正常</w:t>
                  </w:r>
                  <w:r>
                    <w:rPr>
                      <w:rFonts w:hint="default" w:ascii="Times New Roman" w:hAnsi="Times New Roman" w:cs="Times New Roman"/>
                      <w:color w:val="auto"/>
                      <w:w w:val="100"/>
                      <w:sz w:val="18"/>
                      <w:szCs w:val="18"/>
                      <w:highlight w:val="none"/>
                      <w:shd w:val="clear" w:color="auto" w:fill="auto"/>
                    </w:rPr>
                    <w:t>占标率≤100%  □</w:t>
                  </w:r>
                </w:p>
              </w:tc>
              <w:tc>
                <w:tcPr>
                  <w:tcW w:w="2120" w:type="dxa"/>
                  <w:gridSpan w:val="6"/>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非正常</w:t>
                  </w:r>
                  <w:r>
                    <w:rPr>
                      <w:rFonts w:hint="default" w:ascii="Times New Roman" w:hAnsi="Times New Roman" w:cs="Times New Roman"/>
                      <w:color w:val="auto"/>
                      <w:w w:val="100"/>
                      <w:sz w:val="18"/>
                      <w:szCs w:val="18"/>
                      <w:highlight w:val="none"/>
                      <w:shd w:val="clear" w:color="auto" w:fill="auto"/>
                    </w:rPr>
                    <w:t xml:space="preserve">占标率&gt;100% </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保证率日平均浓度和年平均浓度叠加值</w:t>
                  </w:r>
                </w:p>
              </w:tc>
              <w:tc>
                <w:tcPr>
                  <w:tcW w:w="2952" w:type="dxa"/>
                  <w:gridSpan w:val="9"/>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叠加</w:t>
                  </w:r>
                  <w:r>
                    <w:rPr>
                      <w:rFonts w:hint="default" w:ascii="Times New Roman" w:hAnsi="Times New Roman" w:cs="Times New Roman"/>
                      <w:color w:val="auto"/>
                      <w:w w:val="100"/>
                      <w:sz w:val="18"/>
                      <w:szCs w:val="18"/>
                      <w:highlight w:val="none"/>
                      <w:shd w:val="clear" w:color="auto" w:fill="auto"/>
                    </w:rPr>
                    <w:t>达标 □</w:t>
                  </w:r>
                </w:p>
              </w:tc>
              <w:tc>
                <w:tcPr>
                  <w:tcW w:w="2389"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C</w:t>
                  </w:r>
                  <w:r>
                    <w:rPr>
                      <w:rFonts w:hint="default" w:ascii="Times New Roman" w:hAnsi="Times New Roman" w:cs="Times New Roman"/>
                      <w:color w:val="auto"/>
                      <w:w w:val="100"/>
                      <w:sz w:val="18"/>
                      <w:szCs w:val="18"/>
                      <w:highlight w:val="none"/>
                      <w:shd w:val="clear" w:color="auto" w:fill="auto"/>
                      <w:vertAlign w:val="subscript"/>
                    </w:rPr>
                    <w:t>叠加</w:t>
                  </w:r>
                  <w:r>
                    <w:rPr>
                      <w:rFonts w:hint="default" w:ascii="Times New Roman" w:hAnsi="Times New Roman" w:cs="Times New Roman"/>
                      <w:color w:val="auto"/>
                      <w:w w:val="100"/>
                      <w:sz w:val="18"/>
                      <w:szCs w:val="18"/>
                      <w:highlight w:val="none"/>
                      <w:shd w:val="clear" w:color="auto" w:fill="auto"/>
                    </w:rPr>
                    <w:t>不达标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区域环境质量的整体变化情况</w:t>
                  </w:r>
                </w:p>
              </w:tc>
              <w:tc>
                <w:tcPr>
                  <w:tcW w:w="2952" w:type="dxa"/>
                  <w:gridSpan w:val="9"/>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k≤ -20% □</w:t>
                  </w:r>
                </w:p>
              </w:tc>
              <w:tc>
                <w:tcPr>
                  <w:tcW w:w="2389"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k&gt; -20%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77" w:type="dxa"/>
                  <w:vMerge w:val="restart"/>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环境监测计划</w:t>
                  </w: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污染源监测</w:t>
                  </w:r>
                </w:p>
              </w:tc>
              <w:tc>
                <w:tcPr>
                  <w:tcW w:w="1864" w:type="dxa"/>
                  <w:gridSpan w:val="5"/>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监测因子（颗粒物）</w:t>
                  </w:r>
                </w:p>
              </w:tc>
              <w:tc>
                <w:tcPr>
                  <w:tcW w:w="1948" w:type="dxa"/>
                  <w:gridSpan w:val="9"/>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有组织废气监测</w:t>
                  </w:r>
                  <w:r>
                    <w:rPr>
                      <w:rFonts w:hint="eastAsia" w:ascii="Times New Roman" w:hAnsi="Times New Roman" w:cs="Times New Roman"/>
                      <w:color w:val="auto"/>
                      <w:w w:val="100"/>
                      <w:sz w:val="18"/>
                      <w:szCs w:val="18"/>
                      <w:highlight w:val="none"/>
                      <w:shd w:val="clear" w:color="auto" w:fill="auto"/>
                      <w:lang w:eastAsia="zh-CN"/>
                    </w:rPr>
                    <w:t>☑</w:t>
                  </w:r>
                </w:p>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无组织废气监测</w:t>
                  </w:r>
                  <w:r>
                    <w:rPr>
                      <w:rFonts w:hint="eastAsia" w:ascii="Times New Roman" w:hAnsi="Times New Roman" w:cs="Times New Roman"/>
                      <w:color w:val="auto"/>
                      <w:w w:val="100"/>
                      <w:sz w:val="18"/>
                      <w:szCs w:val="18"/>
                      <w:highlight w:val="none"/>
                      <w:shd w:val="clear" w:color="auto" w:fill="auto"/>
                      <w:lang w:eastAsia="zh-CN"/>
                    </w:rPr>
                    <w:t>☑</w:t>
                  </w:r>
                </w:p>
              </w:tc>
              <w:tc>
                <w:tcPr>
                  <w:tcW w:w="1529"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无监测□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环境质量监测</w:t>
                  </w:r>
                </w:p>
              </w:tc>
              <w:tc>
                <w:tcPr>
                  <w:tcW w:w="1864" w:type="dxa"/>
                  <w:gridSpan w:val="5"/>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监测因子（</w:t>
                  </w:r>
                  <w:r>
                    <w:rPr>
                      <w:rFonts w:hint="default" w:ascii="Times New Roman" w:hAnsi="Times New Roman" w:cs="Times New Roman"/>
                      <w:color w:val="auto"/>
                      <w:w w:val="100"/>
                      <w:sz w:val="18"/>
                      <w:szCs w:val="18"/>
                      <w:highlight w:val="none"/>
                      <w:shd w:val="clear" w:color="auto" w:fill="auto"/>
                      <w:lang w:eastAsia="zh-CN"/>
                    </w:rPr>
                    <w:t>—</w:t>
                  </w:r>
                  <w:r>
                    <w:rPr>
                      <w:rFonts w:hint="default" w:ascii="Times New Roman" w:hAnsi="Times New Roman" w:cs="Times New Roman"/>
                      <w:color w:val="auto"/>
                      <w:w w:val="100"/>
                      <w:sz w:val="18"/>
                      <w:szCs w:val="18"/>
                      <w:highlight w:val="none"/>
                      <w:shd w:val="clear" w:color="auto" w:fill="auto"/>
                    </w:rPr>
                    <w:t>）</w:t>
                  </w:r>
                </w:p>
              </w:tc>
              <w:tc>
                <w:tcPr>
                  <w:tcW w:w="1948" w:type="dxa"/>
                  <w:gridSpan w:val="9"/>
                  <w:tcBorders>
                    <w:tl2br w:val="nil"/>
                    <w:tr2bl w:val="nil"/>
                  </w:tcBorders>
                  <w:noWrap w:val="0"/>
                  <w:vAlign w:val="center"/>
                </w:tcPr>
                <w:p>
                  <w:pPr>
                    <w:spacing w:line="0" w:lineRule="atLeast"/>
                    <w:jc w:val="center"/>
                    <w:rPr>
                      <w:rFonts w:hint="eastAsia" w:ascii="Times New Roman" w:hAnsi="Times New Roman" w:eastAsia="宋体" w:cs="Times New Roman"/>
                      <w:color w:val="auto"/>
                      <w:w w:val="100"/>
                      <w:sz w:val="18"/>
                      <w:szCs w:val="18"/>
                      <w:highlight w:val="none"/>
                      <w:shd w:val="clear" w:color="auto" w:fill="auto"/>
                      <w:lang w:eastAsia="zh-CN"/>
                    </w:rPr>
                  </w:pPr>
                  <w:r>
                    <w:rPr>
                      <w:rFonts w:hint="default" w:ascii="Times New Roman" w:hAnsi="Times New Roman" w:cs="Times New Roman"/>
                      <w:color w:val="auto"/>
                      <w:w w:val="100"/>
                      <w:sz w:val="18"/>
                      <w:szCs w:val="18"/>
                      <w:highlight w:val="none"/>
                      <w:shd w:val="clear" w:color="auto" w:fill="auto"/>
                    </w:rPr>
                    <w:t>监测点位数</w:t>
                  </w:r>
                  <w:r>
                    <w:rPr>
                      <w:rFonts w:hint="eastAsia" w:ascii="Times New Roman" w:hAnsi="Times New Roman" w:cs="Times New Roman"/>
                      <w:color w:val="auto"/>
                      <w:w w:val="100"/>
                      <w:sz w:val="18"/>
                      <w:szCs w:val="18"/>
                      <w:highlight w:val="none"/>
                      <w:shd w:val="clear" w:color="auto" w:fill="auto"/>
                      <w:lang w:eastAsia="zh-CN"/>
                    </w:rPr>
                    <w:t>（—）</w:t>
                  </w:r>
                </w:p>
              </w:tc>
              <w:tc>
                <w:tcPr>
                  <w:tcW w:w="1529"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无监测□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77" w:type="dxa"/>
                  <w:vMerge w:val="restart"/>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评价结论</w:t>
                  </w: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环境影响</w:t>
                  </w:r>
                </w:p>
              </w:tc>
              <w:tc>
                <w:tcPr>
                  <w:tcW w:w="5341" w:type="dxa"/>
                  <w:gridSpan w:val="17"/>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可以接受</w:t>
                  </w:r>
                  <w:r>
                    <w:rPr>
                      <w:rFonts w:hint="eastAsia" w:ascii="Times New Roman" w:hAnsi="Times New Roman" w:cs="Times New Roman"/>
                      <w:color w:val="auto"/>
                      <w:w w:val="100"/>
                      <w:sz w:val="18"/>
                      <w:szCs w:val="18"/>
                      <w:highlight w:val="none"/>
                      <w:shd w:val="clear" w:color="auto" w:fill="auto"/>
                      <w:lang w:eastAsia="zh-CN"/>
                    </w:rPr>
                    <w:t>☑</w:t>
                  </w:r>
                  <w:r>
                    <w:rPr>
                      <w:rFonts w:hint="default" w:ascii="Times New Roman" w:hAnsi="Times New Roman" w:cs="Times New Roman"/>
                      <w:color w:val="auto"/>
                      <w:w w:val="100"/>
                      <w:sz w:val="18"/>
                      <w:szCs w:val="18"/>
                      <w:highlight w:val="none"/>
                      <w:shd w:val="clear" w:color="auto" w:fill="auto"/>
                    </w:rPr>
                    <w:t xml:space="preserve">  不可以接受□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大气环境防护距离</w:t>
                  </w:r>
                </w:p>
              </w:tc>
              <w:tc>
                <w:tcPr>
                  <w:tcW w:w="5341" w:type="dxa"/>
                  <w:gridSpan w:val="17"/>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距（   ）厂界最远（   ）m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77" w:type="dxa"/>
                  <w:vMerge w:val="continue"/>
                  <w:tcBorders>
                    <w:tl2br w:val="nil"/>
                    <w:tr2bl w:val="nil"/>
                  </w:tcBorders>
                  <w:noWrap w:val="0"/>
                  <w:vAlign w:val="center"/>
                </w:tcPr>
                <w:p>
                  <w:pPr>
                    <w:spacing w:line="0" w:lineRule="atLeast"/>
                    <w:ind w:firstLine="480"/>
                    <w:jc w:val="center"/>
                    <w:rPr>
                      <w:rFonts w:hint="default" w:ascii="Times New Roman" w:hAnsi="Times New Roman" w:cs="Times New Roman"/>
                      <w:color w:val="auto"/>
                      <w:w w:val="100"/>
                      <w:sz w:val="18"/>
                      <w:szCs w:val="18"/>
                      <w:highlight w:val="none"/>
                      <w:shd w:val="clear" w:color="auto" w:fill="auto"/>
                    </w:rPr>
                  </w:pPr>
                </w:p>
              </w:tc>
              <w:tc>
                <w:tcPr>
                  <w:tcW w:w="1950"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污染源年排放量</w:t>
                  </w:r>
                </w:p>
              </w:tc>
              <w:tc>
                <w:tcPr>
                  <w:tcW w:w="991" w:type="dxa"/>
                  <w:gridSpan w:val="2"/>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SO</w:t>
                  </w:r>
                  <w:r>
                    <w:rPr>
                      <w:rFonts w:hint="default" w:ascii="Times New Roman" w:hAnsi="Times New Roman" w:cs="Times New Roman"/>
                      <w:color w:val="auto"/>
                      <w:w w:val="100"/>
                      <w:sz w:val="18"/>
                      <w:szCs w:val="18"/>
                      <w:highlight w:val="none"/>
                      <w:shd w:val="clear" w:color="auto" w:fill="auto"/>
                      <w:vertAlign w:val="subscript"/>
                    </w:rPr>
                    <w:t>2</w:t>
                  </w:r>
                  <w:r>
                    <w:rPr>
                      <w:rFonts w:hint="default" w:ascii="Times New Roman" w:hAnsi="Times New Roman" w:cs="Times New Roman"/>
                      <w:color w:val="auto"/>
                      <w:w w:val="100"/>
                      <w:sz w:val="18"/>
                      <w:szCs w:val="18"/>
                      <w:highlight w:val="none"/>
                      <w:shd w:val="clear" w:color="auto" w:fill="auto"/>
                    </w:rPr>
                    <w:t>：（）t/a</w:t>
                  </w:r>
                </w:p>
              </w:tc>
              <w:tc>
                <w:tcPr>
                  <w:tcW w:w="1396" w:type="dxa"/>
                  <w:gridSpan w:val="4"/>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NO</w:t>
                  </w:r>
                  <w:r>
                    <w:rPr>
                      <w:rFonts w:hint="default" w:ascii="Times New Roman" w:hAnsi="Times New Roman" w:cs="Times New Roman"/>
                      <w:color w:val="auto"/>
                      <w:w w:val="100"/>
                      <w:sz w:val="18"/>
                      <w:szCs w:val="18"/>
                      <w:highlight w:val="none"/>
                      <w:shd w:val="clear" w:color="auto" w:fill="auto"/>
                      <w:vertAlign w:val="subscript"/>
                    </w:rPr>
                    <w:t>x</w:t>
                  </w:r>
                  <w:r>
                    <w:rPr>
                      <w:rFonts w:hint="default" w:ascii="Times New Roman" w:hAnsi="Times New Roman" w:cs="Times New Roman"/>
                      <w:color w:val="auto"/>
                      <w:w w:val="100"/>
                      <w:sz w:val="18"/>
                      <w:szCs w:val="18"/>
                      <w:highlight w:val="none"/>
                      <w:shd w:val="clear" w:color="auto" w:fill="auto"/>
                    </w:rPr>
                    <w:t>：（）t/a</w:t>
                  </w:r>
                </w:p>
              </w:tc>
              <w:tc>
                <w:tcPr>
                  <w:tcW w:w="1425" w:type="dxa"/>
                  <w:gridSpan w:val="8"/>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颗粒物：（</w:t>
                  </w:r>
                  <w:r>
                    <w:rPr>
                      <w:rFonts w:hint="eastAsia" w:cs="Times New Roman"/>
                      <w:color w:val="auto"/>
                      <w:w w:val="100"/>
                      <w:sz w:val="18"/>
                      <w:szCs w:val="18"/>
                      <w:highlight w:val="none"/>
                      <w:shd w:val="clear" w:color="auto" w:fill="auto"/>
                      <w:lang w:val="en-US" w:eastAsia="zh-CN"/>
                    </w:rPr>
                    <w:t>0.01634</w:t>
                  </w:r>
                  <w:r>
                    <w:rPr>
                      <w:rFonts w:hint="default" w:ascii="Times New Roman" w:hAnsi="Times New Roman" w:cs="Times New Roman"/>
                      <w:color w:val="auto"/>
                      <w:w w:val="100"/>
                      <w:sz w:val="18"/>
                      <w:szCs w:val="18"/>
                      <w:highlight w:val="none"/>
                      <w:shd w:val="clear" w:color="auto" w:fill="auto"/>
                    </w:rPr>
                    <w:t>）t/a</w:t>
                  </w:r>
                </w:p>
              </w:tc>
              <w:tc>
                <w:tcPr>
                  <w:tcW w:w="1529" w:type="dxa"/>
                  <w:gridSpan w:val="3"/>
                  <w:tcBorders>
                    <w:tl2br w:val="nil"/>
                    <w:tr2bl w:val="nil"/>
                  </w:tcBorders>
                  <w:noWrap w:val="0"/>
                  <w:vAlign w:val="center"/>
                </w:tcPr>
                <w:p>
                  <w:pPr>
                    <w:spacing w:line="0" w:lineRule="atLeast"/>
                    <w:jc w:val="center"/>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VOCs：（）t/a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8168" w:type="dxa"/>
                  <w:gridSpan w:val="21"/>
                  <w:tcBorders>
                    <w:tl2br w:val="nil"/>
                    <w:tr2bl w:val="nil"/>
                  </w:tcBorders>
                  <w:noWrap w:val="0"/>
                  <w:vAlign w:val="center"/>
                </w:tcPr>
                <w:p>
                  <w:pPr>
                    <w:spacing w:line="0" w:lineRule="atLeast"/>
                    <w:rPr>
                      <w:rFonts w:hint="default" w:ascii="Times New Roman" w:hAnsi="Times New Roman" w:cs="Times New Roman"/>
                      <w:color w:val="auto"/>
                      <w:w w:val="100"/>
                      <w:sz w:val="18"/>
                      <w:szCs w:val="18"/>
                      <w:highlight w:val="none"/>
                      <w:shd w:val="clear" w:color="auto" w:fill="auto"/>
                    </w:rPr>
                  </w:pPr>
                  <w:r>
                    <w:rPr>
                      <w:rFonts w:hint="default" w:ascii="Times New Roman" w:hAnsi="Times New Roman" w:cs="Times New Roman"/>
                      <w:color w:val="auto"/>
                      <w:w w:val="100"/>
                      <w:sz w:val="18"/>
                      <w:szCs w:val="18"/>
                      <w:highlight w:val="none"/>
                      <w:shd w:val="clear" w:color="auto" w:fill="auto"/>
                    </w:rPr>
                    <w:t>注：“□”为勾选项，填“√”；“（ ）”为内容填写项</w:t>
                  </w:r>
                </w:p>
              </w:tc>
            </w:tr>
          </w:tbl>
          <w:p>
            <w:pPr>
              <w:pStyle w:val="17"/>
              <w:spacing w:line="440" w:lineRule="exact"/>
              <w:jc w:val="left"/>
              <w:rPr>
                <w:color w:val="auto"/>
                <w:highlight w:val="none"/>
              </w:rPr>
            </w:pPr>
            <w:r>
              <w:rPr>
                <w:color w:val="auto"/>
                <w:highlight w:val="none"/>
              </w:rPr>
              <w:t>（2）水环境影响分析</w:t>
            </w:r>
          </w:p>
          <w:p>
            <w:pPr>
              <w:tabs>
                <w:tab w:val="left" w:pos="0"/>
              </w:tabs>
              <w:autoSpaceDE w:val="0"/>
              <w:autoSpaceDN w:val="0"/>
              <w:spacing w:line="480" w:lineRule="exact"/>
              <w:ind w:left="6" w:leftChars="3" w:firstLine="480" w:firstLineChars="200"/>
              <w:jc w:val="left"/>
              <w:rPr>
                <w:color w:val="auto"/>
                <w:sz w:val="24"/>
                <w:highlight w:val="none"/>
              </w:rPr>
            </w:pPr>
            <w:r>
              <w:rPr>
                <w:color w:val="auto"/>
                <w:sz w:val="24"/>
                <w:highlight w:val="none"/>
              </w:rPr>
              <w:fldChar w:fldCharType="begin"/>
            </w:r>
            <w:r>
              <w:rPr>
                <w:color w:val="auto"/>
                <w:sz w:val="24"/>
                <w:highlight w:val="none"/>
              </w:rPr>
              <w:instrText xml:space="preserve"> = 1 \* GB3 </w:instrText>
            </w:r>
            <w:r>
              <w:rPr>
                <w:color w:val="auto"/>
                <w:sz w:val="24"/>
                <w:highlight w:val="none"/>
              </w:rPr>
              <w:fldChar w:fldCharType="separate"/>
            </w:r>
            <w:r>
              <w:rPr>
                <w:color w:val="auto"/>
                <w:sz w:val="24"/>
                <w:highlight w:val="none"/>
              </w:rPr>
              <w:t>①</w:t>
            </w:r>
            <w:r>
              <w:rPr>
                <w:color w:val="auto"/>
                <w:sz w:val="24"/>
                <w:highlight w:val="none"/>
              </w:rPr>
              <w:fldChar w:fldCharType="end"/>
            </w:r>
            <w:r>
              <w:rPr>
                <w:color w:val="auto"/>
                <w:sz w:val="24"/>
                <w:highlight w:val="none"/>
              </w:rPr>
              <w:t>地表水：</w:t>
            </w:r>
            <w:r>
              <w:rPr>
                <w:color w:val="auto"/>
                <w:spacing w:val="2"/>
                <w:kern w:val="0"/>
                <w:sz w:val="24"/>
                <w:highlight w:val="none"/>
              </w:rPr>
              <w:t>本</w:t>
            </w:r>
            <w:r>
              <w:rPr>
                <w:rFonts w:hint="eastAsia"/>
                <w:color w:val="auto"/>
                <w:spacing w:val="2"/>
                <w:kern w:val="0"/>
                <w:sz w:val="24"/>
                <w:highlight w:val="none"/>
                <w:lang w:eastAsia="zh-CN"/>
              </w:rPr>
              <w:t>次技改</w:t>
            </w:r>
            <w:r>
              <w:rPr>
                <w:color w:val="auto"/>
                <w:spacing w:val="2"/>
                <w:kern w:val="0"/>
                <w:sz w:val="24"/>
                <w:highlight w:val="none"/>
              </w:rPr>
              <w:t>项目</w:t>
            </w:r>
            <w:r>
              <w:rPr>
                <w:rFonts w:hint="eastAsia"/>
                <w:color w:val="auto"/>
                <w:spacing w:val="2"/>
                <w:kern w:val="0"/>
                <w:sz w:val="24"/>
                <w:highlight w:val="none"/>
                <w:lang w:eastAsia="zh-CN"/>
              </w:rPr>
              <w:t>无新增劳动定员，无新增生活污水；生产用水仅为切削液配置用水，切削液循环使用，定期清理，作为危险废物处理。技改项目无新增废水排放。</w:t>
            </w:r>
          </w:p>
          <w:p>
            <w:pPr>
              <w:spacing w:line="500" w:lineRule="exact"/>
              <w:ind w:firstLine="480"/>
              <w:jc w:val="left"/>
              <w:rPr>
                <w:color w:val="auto"/>
                <w:highlight w:val="none"/>
              </w:rPr>
            </w:pPr>
            <w:r>
              <w:rPr>
                <w:color w:val="auto"/>
                <w:sz w:val="24"/>
                <w:highlight w:val="none"/>
              </w:rPr>
              <w:t>综上，本</w:t>
            </w:r>
            <w:r>
              <w:rPr>
                <w:rFonts w:hint="eastAsia"/>
                <w:color w:val="auto"/>
                <w:sz w:val="24"/>
                <w:highlight w:val="none"/>
                <w:lang w:eastAsia="zh-CN"/>
              </w:rPr>
              <w:t>次技改</w:t>
            </w:r>
            <w:r>
              <w:rPr>
                <w:color w:val="auto"/>
                <w:sz w:val="24"/>
                <w:highlight w:val="none"/>
              </w:rPr>
              <w:t>项目无</w:t>
            </w:r>
            <w:r>
              <w:rPr>
                <w:rFonts w:hint="eastAsia"/>
                <w:color w:val="auto"/>
                <w:sz w:val="24"/>
                <w:highlight w:val="none"/>
                <w:lang w:eastAsia="zh-CN"/>
              </w:rPr>
              <w:t>新增</w:t>
            </w:r>
            <w:r>
              <w:rPr>
                <w:color w:val="auto"/>
                <w:sz w:val="24"/>
                <w:highlight w:val="none"/>
              </w:rPr>
              <w:t>废水外排</w:t>
            </w:r>
            <w:r>
              <w:rPr>
                <w:rFonts w:hint="eastAsia"/>
                <w:color w:val="auto"/>
                <w:sz w:val="24"/>
                <w:highlight w:val="none"/>
              </w:rPr>
              <w:t>，不会对地表水造成影响</w:t>
            </w:r>
            <w:r>
              <w:rPr>
                <w:color w:val="auto"/>
                <w:sz w:val="24"/>
                <w:highlight w:val="none"/>
              </w:rPr>
              <w:t>。</w:t>
            </w:r>
          </w:p>
          <w:p>
            <w:pPr>
              <w:spacing w:line="500" w:lineRule="exact"/>
              <w:ind w:firstLine="480"/>
              <w:jc w:val="left"/>
              <w:rPr>
                <w:color w:val="auto"/>
                <w:sz w:val="24"/>
                <w:highlight w:val="none"/>
              </w:rPr>
            </w:pPr>
            <w:r>
              <w:rPr>
                <w:color w:val="auto"/>
                <w:highlight w:val="none"/>
              </w:rPr>
              <w:fldChar w:fldCharType="begin"/>
            </w:r>
            <w:r>
              <w:rPr>
                <w:color w:val="auto"/>
                <w:sz w:val="24"/>
                <w:highlight w:val="none"/>
              </w:rPr>
              <w:instrText xml:space="preserve"> = 2 \* GB3 </w:instrText>
            </w:r>
            <w:r>
              <w:rPr>
                <w:color w:val="auto"/>
                <w:sz w:val="24"/>
                <w:highlight w:val="none"/>
              </w:rPr>
              <w:fldChar w:fldCharType="separate"/>
            </w:r>
            <w:r>
              <w:rPr>
                <w:color w:val="auto"/>
                <w:sz w:val="24"/>
                <w:highlight w:val="none"/>
              </w:rPr>
              <w:t>②</w:t>
            </w:r>
            <w:r>
              <w:rPr>
                <w:color w:val="auto"/>
                <w:sz w:val="24"/>
                <w:highlight w:val="none"/>
              </w:rPr>
              <w:fldChar w:fldCharType="end"/>
            </w:r>
            <w:r>
              <w:rPr>
                <w:color w:val="auto"/>
                <w:sz w:val="24"/>
                <w:highlight w:val="none"/>
              </w:rPr>
              <w:t>地下水：根据建设项目对地下水环境影响的程度，结合《建设项目环境影响评价分类管理名录》，将建设项目分为四类。Ⅰ类、Ⅱ类、Ⅲ类建设项目的地下水环境影响评价应执行本标准，Ⅳ类建设项目不开展地下水环境影响评价。根据《环境影响评价技术导则 地下水环境》（HJ 610-2016）附录A，本项目行业类别为：</w:t>
            </w:r>
            <w:r>
              <w:rPr>
                <w:rFonts w:hint="eastAsia"/>
                <w:color w:val="auto"/>
                <w:sz w:val="24"/>
                <w:highlight w:val="none"/>
                <w:lang w:eastAsia="zh-CN"/>
              </w:rPr>
              <w:t>金属制品加工制造</w:t>
            </w:r>
            <w:r>
              <w:rPr>
                <w:color w:val="auto"/>
                <w:sz w:val="24"/>
                <w:highlight w:val="none"/>
              </w:rPr>
              <w:t>，属于地下水环境影响评价项目类别Ⅳ类，因此，本项目不开展地下水环境影响评价。仅对防渗措施进行分析：</w:t>
            </w:r>
          </w:p>
          <w:p>
            <w:pPr>
              <w:tabs>
                <w:tab w:val="left" w:pos="6420"/>
              </w:tabs>
              <w:spacing w:line="500" w:lineRule="exact"/>
              <w:ind w:firstLine="420" w:firstLineChars="200"/>
              <w:jc w:val="left"/>
              <w:rPr>
                <w:color w:val="auto"/>
                <w:sz w:val="24"/>
                <w:highlight w:val="none"/>
              </w:rPr>
            </w:pPr>
            <w:r>
              <w:rPr>
                <w:color w:val="auto"/>
                <w:highlight w:val="none"/>
              </w:rPr>
              <w:fldChar w:fldCharType="begin"/>
            </w:r>
            <w:r>
              <w:rPr>
                <w:color w:val="auto"/>
                <w:sz w:val="24"/>
                <w:highlight w:val="none"/>
              </w:rPr>
              <w:instrText xml:space="preserve"> = 1 \* GB3 </w:instrText>
            </w:r>
            <w:r>
              <w:rPr>
                <w:color w:val="auto"/>
                <w:sz w:val="24"/>
                <w:highlight w:val="none"/>
              </w:rPr>
              <w:fldChar w:fldCharType="separate"/>
            </w:r>
            <w:r>
              <w:rPr>
                <w:color w:val="auto"/>
                <w:sz w:val="24"/>
                <w:highlight w:val="none"/>
              </w:rPr>
              <w:t>①</w:t>
            </w:r>
            <w:r>
              <w:rPr>
                <w:color w:val="auto"/>
                <w:sz w:val="24"/>
                <w:highlight w:val="none"/>
              </w:rPr>
              <w:fldChar w:fldCharType="end"/>
            </w:r>
            <w:r>
              <w:rPr>
                <w:color w:val="auto"/>
                <w:sz w:val="24"/>
                <w:highlight w:val="none"/>
              </w:rPr>
              <w:t>本</w:t>
            </w:r>
            <w:r>
              <w:rPr>
                <w:rFonts w:hint="eastAsia"/>
                <w:color w:val="auto"/>
                <w:sz w:val="24"/>
                <w:highlight w:val="none"/>
                <w:lang w:eastAsia="zh-CN"/>
              </w:rPr>
              <w:t>次技改</w:t>
            </w:r>
            <w:r>
              <w:rPr>
                <w:color w:val="auto"/>
                <w:sz w:val="24"/>
                <w:highlight w:val="none"/>
              </w:rPr>
              <w:t>项目</w:t>
            </w:r>
            <w:r>
              <w:rPr>
                <w:rFonts w:hint="eastAsia"/>
                <w:color w:val="auto"/>
                <w:sz w:val="24"/>
                <w:highlight w:val="none"/>
                <w:lang w:eastAsia="zh-CN"/>
              </w:rPr>
              <w:t>依托现有生产</w:t>
            </w:r>
            <w:r>
              <w:rPr>
                <w:color w:val="auto"/>
                <w:sz w:val="24"/>
                <w:highlight w:val="none"/>
              </w:rPr>
              <w:t>车间</w:t>
            </w:r>
            <w:r>
              <w:rPr>
                <w:rFonts w:hint="eastAsia"/>
                <w:color w:val="auto"/>
                <w:sz w:val="24"/>
                <w:highlight w:val="none"/>
                <w:lang w:eastAsia="zh-CN"/>
              </w:rPr>
              <w:t>，为</w:t>
            </w:r>
            <w:r>
              <w:rPr>
                <w:rFonts w:hint="default" w:ascii="Times New Roman" w:hAnsi="Times New Roman" w:cs="Times New Roman"/>
                <w:color w:val="auto"/>
                <w:sz w:val="24"/>
                <w:szCs w:val="24"/>
                <w:highlight w:val="none"/>
              </w:rPr>
              <w:t>一般防渗区：生产车间全部进行水泥硬化，地面铺设 3：7 的石灰、粘土混合层，夯实，15cm 厚水泥+抗渗剂硬化，</w:t>
            </w:r>
            <w:r>
              <w:rPr>
                <w:rFonts w:hint="eastAsia" w:cs="Times New Roman"/>
                <w:color w:val="auto"/>
                <w:sz w:val="24"/>
                <w:szCs w:val="24"/>
                <w:highlight w:val="none"/>
                <w:lang w:eastAsia="zh-CN"/>
              </w:rPr>
              <w:t>表面铺设一层环氧树脂，渗透系数</w:t>
            </w:r>
            <w:r>
              <w:rPr>
                <w:rFonts w:hint="default" w:ascii="Times New Roman" w:hAnsi="Times New Roman" w:cs="Times New Roman"/>
                <w:color w:val="auto"/>
                <w:sz w:val="24"/>
                <w:szCs w:val="24"/>
                <w:highlight w:val="none"/>
              </w:rPr>
              <w:t>不大于1×10</w:t>
            </w:r>
            <w:r>
              <w:rPr>
                <w:rFonts w:hint="default" w:ascii="Times New Roman" w:hAnsi="Times New Roman" w:cs="Times New Roman"/>
                <w:color w:val="auto"/>
                <w:sz w:val="24"/>
                <w:szCs w:val="24"/>
                <w:highlight w:val="none"/>
                <w:vertAlign w:val="superscript"/>
              </w:rPr>
              <w:t xml:space="preserve">-7 </w:t>
            </w:r>
            <w:r>
              <w:rPr>
                <w:rFonts w:hint="default" w:ascii="Times New Roman" w:hAnsi="Times New Roman" w:cs="Times New Roman"/>
                <w:color w:val="auto"/>
                <w:sz w:val="24"/>
                <w:szCs w:val="24"/>
                <w:highlight w:val="none"/>
              </w:rPr>
              <w:t xml:space="preserve">cm/s </w:t>
            </w:r>
            <w:r>
              <w:rPr>
                <w:rFonts w:hint="default" w:ascii="Times New Roman" w:hAnsi="Times New Roman" w:cs="Times New Roman"/>
                <w:color w:val="auto"/>
                <w:sz w:val="24"/>
                <w:szCs w:val="24"/>
                <w:highlight w:val="none"/>
                <w:lang w:eastAsia="zh-CN"/>
              </w:rPr>
              <w:t>。</w:t>
            </w:r>
          </w:p>
          <w:p>
            <w:pPr>
              <w:tabs>
                <w:tab w:val="left" w:pos="6420"/>
              </w:tabs>
              <w:spacing w:line="500" w:lineRule="exact"/>
              <w:ind w:firstLine="420" w:firstLineChars="200"/>
              <w:jc w:val="left"/>
              <w:rPr>
                <w:color w:val="auto"/>
                <w:sz w:val="24"/>
                <w:highlight w:val="none"/>
              </w:rPr>
            </w:pPr>
            <w:r>
              <w:rPr>
                <w:color w:val="auto"/>
                <w:highlight w:val="none"/>
              </w:rPr>
              <w:fldChar w:fldCharType="begin"/>
            </w:r>
            <w:r>
              <w:rPr>
                <w:color w:val="auto"/>
                <w:sz w:val="24"/>
                <w:highlight w:val="none"/>
              </w:rPr>
              <w:instrText xml:space="preserve"> = 2 \* GB3 </w:instrText>
            </w:r>
            <w:r>
              <w:rPr>
                <w:color w:val="auto"/>
                <w:sz w:val="24"/>
                <w:highlight w:val="none"/>
              </w:rPr>
              <w:fldChar w:fldCharType="separate"/>
            </w:r>
            <w:r>
              <w:rPr>
                <w:color w:val="auto"/>
                <w:sz w:val="24"/>
                <w:highlight w:val="none"/>
              </w:rPr>
              <w:t>②</w:t>
            </w:r>
            <w:r>
              <w:rPr>
                <w:color w:val="auto"/>
                <w:sz w:val="24"/>
                <w:highlight w:val="none"/>
              </w:rPr>
              <w:fldChar w:fldCharType="end"/>
            </w:r>
            <w:r>
              <w:rPr>
                <w:color w:val="auto"/>
                <w:sz w:val="24"/>
                <w:highlight w:val="none"/>
              </w:rPr>
              <w:t>危废暂存间</w:t>
            </w:r>
            <w:r>
              <w:rPr>
                <w:rFonts w:hint="eastAsia"/>
                <w:color w:val="auto"/>
                <w:sz w:val="24"/>
                <w:highlight w:val="none"/>
                <w:lang w:eastAsia="zh-CN"/>
              </w:rPr>
              <w:t>为</w:t>
            </w:r>
            <w:r>
              <w:rPr>
                <w:rFonts w:hint="default" w:ascii="Times New Roman" w:hAnsi="Times New Roman" w:cs="Times New Roman"/>
                <w:color w:val="auto"/>
                <w:sz w:val="24"/>
                <w:szCs w:val="24"/>
                <w:highlight w:val="none"/>
              </w:rPr>
              <w:t>重点防渗区：</w:t>
            </w:r>
            <w:r>
              <w:rPr>
                <w:rFonts w:hint="eastAsia" w:cs="Times New Roman"/>
                <w:color w:val="auto"/>
                <w:sz w:val="24"/>
                <w:szCs w:val="24"/>
                <w:highlight w:val="none"/>
                <w:lang w:eastAsia="zh-CN"/>
              </w:rPr>
              <w:t>本次技改项目依托现有危废暂存间，现有</w:t>
            </w:r>
            <w:r>
              <w:rPr>
                <w:color w:val="auto"/>
                <w:sz w:val="24"/>
                <w:highlight w:val="none"/>
              </w:rPr>
              <w:t>危废暂存间</w:t>
            </w:r>
            <w:r>
              <w:rPr>
                <w:rFonts w:hint="default" w:ascii="Times New Roman" w:hAnsi="Times New Roman" w:cs="Times New Roman"/>
                <w:color w:val="auto"/>
                <w:sz w:val="24"/>
                <w:szCs w:val="24"/>
                <w:highlight w:val="none"/>
              </w:rPr>
              <w:t>铺设 20</w:t>
            </w:r>
            <w:r>
              <w:rPr>
                <w:rFonts w:hint="eastAsia" w:cs="Times New Roman"/>
                <w:color w:val="auto"/>
                <w:sz w:val="24"/>
                <w:szCs w:val="24"/>
                <w:highlight w:val="none"/>
                <w:lang w:val="en-US" w:eastAsia="zh-CN"/>
              </w:rPr>
              <w:t>0m</w:t>
            </w:r>
            <w:r>
              <w:rPr>
                <w:rFonts w:hint="default" w:ascii="Times New Roman" w:hAnsi="Times New Roman" w:cs="Times New Roman"/>
                <w:color w:val="auto"/>
                <w:sz w:val="24"/>
                <w:szCs w:val="24"/>
                <w:highlight w:val="none"/>
              </w:rPr>
              <w:t>m 抗渗混凝土；再铺设2mm 厚高密度聚乙烯（HDPE）膜防渗层，防渗层上采用抗渗混凝土，混凝土强度等级不低于 C25，抗渗等级不低于 P6，厚度不小于 100mm。</w:t>
            </w:r>
            <w:r>
              <w:rPr>
                <w:rFonts w:hint="eastAsia" w:cs="Times New Roman"/>
                <w:color w:val="auto"/>
                <w:sz w:val="24"/>
                <w:szCs w:val="24"/>
                <w:highlight w:val="none"/>
                <w:lang w:eastAsia="zh-CN"/>
              </w:rPr>
              <w:t>渗透系数</w:t>
            </w:r>
            <w:r>
              <w:rPr>
                <w:rFonts w:hint="default" w:ascii="Times New Roman" w:hAnsi="Times New Roman" w:cs="Times New Roman"/>
                <w:color w:val="auto"/>
                <w:sz w:val="24"/>
                <w:szCs w:val="24"/>
                <w:highlight w:val="none"/>
              </w:rPr>
              <w:t>不大于1×10</w:t>
            </w:r>
            <w:r>
              <w:rPr>
                <w:rFonts w:hint="default" w:ascii="Times New Roman" w:hAnsi="Times New Roman" w:cs="Times New Roman"/>
                <w:color w:val="auto"/>
                <w:sz w:val="24"/>
                <w:szCs w:val="24"/>
                <w:highlight w:val="none"/>
                <w:vertAlign w:val="superscript"/>
              </w:rPr>
              <w:t xml:space="preserve"> -</w:t>
            </w:r>
            <w:r>
              <w:rPr>
                <w:rFonts w:hint="default" w:ascii="Times New Roman" w:hAnsi="Times New Roman" w:cs="Times New Roman"/>
                <w:color w:val="auto"/>
                <w:sz w:val="24"/>
                <w:szCs w:val="24"/>
                <w:highlight w:val="none"/>
                <w:vertAlign w:val="superscript"/>
                <w:lang w:val="en-US" w:eastAsia="zh-CN"/>
              </w:rPr>
              <w:t>10</w:t>
            </w:r>
            <w:r>
              <w:rPr>
                <w:rFonts w:hint="default" w:ascii="Times New Roman" w:hAnsi="Times New Roman" w:cs="Times New Roman"/>
                <w:color w:val="auto"/>
                <w:sz w:val="24"/>
                <w:szCs w:val="24"/>
                <w:highlight w:val="none"/>
              </w:rPr>
              <w:t xml:space="preserve"> cm/s</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危废暂存间</w:t>
            </w:r>
            <w:r>
              <w:rPr>
                <w:rFonts w:hint="eastAsia" w:cs="Times New Roman"/>
                <w:color w:val="auto"/>
                <w:sz w:val="24"/>
                <w:szCs w:val="24"/>
                <w:highlight w:val="none"/>
                <w:lang w:eastAsia="zh-CN"/>
              </w:rPr>
              <w:t>改造后</w:t>
            </w:r>
            <w:r>
              <w:rPr>
                <w:rFonts w:hint="default" w:ascii="Times New Roman" w:hAnsi="Times New Roman" w:cs="Times New Roman"/>
                <w:color w:val="auto"/>
                <w:sz w:val="24"/>
                <w:szCs w:val="24"/>
                <w:highlight w:val="none"/>
              </w:rPr>
              <w:t>同时满足防雨、防风、防晒设施，地面与裙角连城整体，避免污染物泄漏，污染环境</w:t>
            </w:r>
            <w:r>
              <w:rPr>
                <w:color w:val="auto"/>
                <w:sz w:val="24"/>
                <w:highlight w:val="none"/>
              </w:rPr>
              <w:t>；</w:t>
            </w:r>
            <w:r>
              <w:rPr>
                <w:rFonts w:hint="eastAsia"/>
                <w:color w:val="auto"/>
                <w:sz w:val="24"/>
                <w:highlight w:val="none"/>
                <w:lang w:eastAsia="zh-CN"/>
              </w:rPr>
              <w:t>并满足</w:t>
            </w:r>
            <w:r>
              <w:rPr>
                <w:color w:val="auto"/>
                <w:sz w:val="24"/>
                <w:highlight w:val="none"/>
              </w:rPr>
              <w:t>地面与裙脚所围建的容积不低于最大容器的最大储量或总储量的五分之一；危险废物贮存设施必须按照GB15562.2的规定设置警示标志，包装容器和包装物上、暂存间均应设置危险废物警示标志及危险废物名称，危险废物应当委托具有相应危废经营资质的单位利用处置，严格执行危险废物转移计划和转移联单制度。</w:t>
            </w:r>
          </w:p>
          <w:p>
            <w:pPr>
              <w:tabs>
                <w:tab w:val="left" w:pos="6420"/>
              </w:tabs>
              <w:spacing w:line="500" w:lineRule="exact"/>
              <w:ind w:firstLine="480" w:firstLineChars="200"/>
              <w:jc w:val="left"/>
              <w:rPr>
                <w:color w:val="auto"/>
                <w:sz w:val="24"/>
                <w:highlight w:val="none"/>
              </w:rPr>
            </w:pPr>
            <w:r>
              <w:rPr>
                <w:color w:val="auto"/>
                <w:sz w:val="24"/>
                <w:highlight w:val="none"/>
              </w:rPr>
              <w:t>③</w:t>
            </w:r>
            <w:r>
              <w:rPr>
                <w:rFonts w:hint="eastAsia" w:cs="Times New Roman"/>
                <w:color w:val="auto"/>
                <w:sz w:val="24"/>
                <w:highlight w:val="none"/>
                <w:lang w:eastAsia="zh-CN"/>
              </w:rPr>
              <w:t>办公区</w:t>
            </w:r>
            <w:r>
              <w:rPr>
                <w:rFonts w:hint="default" w:ascii="Times New Roman" w:hAnsi="Times New Roman" w:cs="Times New Roman"/>
                <w:color w:val="auto"/>
                <w:sz w:val="24"/>
                <w:highlight w:val="none"/>
              </w:rPr>
              <w:t>进行</w:t>
            </w:r>
            <w:r>
              <w:rPr>
                <w:rFonts w:hint="eastAsia" w:cs="Times New Roman"/>
                <w:color w:val="auto"/>
                <w:sz w:val="24"/>
                <w:highlight w:val="none"/>
                <w:lang w:eastAsia="zh-CN"/>
              </w:rPr>
              <w:t>了</w:t>
            </w:r>
            <w:r>
              <w:rPr>
                <w:rFonts w:hint="default" w:ascii="Times New Roman" w:hAnsi="Times New Roman" w:cs="Times New Roman"/>
                <w:color w:val="auto"/>
                <w:sz w:val="24"/>
                <w:highlight w:val="none"/>
              </w:rPr>
              <w:t>一般</w:t>
            </w:r>
            <w:r>
              <w:rPr>
                <w:rFonts w:hint="eastAsia" w:cs="Times New Roman"/>
                <w:color w:val="auto"/>
                <w:sz w:val="24"/>
                <w:highlight w:val="none"/>
                <w:lang w:eastAsia="zh-CN"/>
              </w:rPr>
              <w:t>硬化</w:t>
            </w:r>
            <w:r>
              <w:rPr>
                <w:rFonts w:hint="default" w:ascii="Times New Roman" w:hAnsi="Times New Roman" w:cs="Times New Roman"/>
                <w:color w:val="auto"/>
                <w:sz w:val="24"/>
                <w:highlight w:val="none"/>
              </w:rPr>
              <w:t>。</w:t>
            </w:r>
          </w:p>
          <w:p>
            <w:pPr>
              <w:tabs>
                <w:tab w:val="left" w:pos="6420"/>
              </w:tabs>
              <w:autoSpaceDE w:val="0"/>
              <w:autoSpaceDN w:val="0"/>
              <w:spacing w:line="480" w:lineRule="exact"/>
              <w:ind w:left="6" w:leftChars="3" w:firstLine="480" w:firstLineChars="200"/>
              <w:jc w:val="left"/>
              <w:rPr>
                <w:color w:val="auto"/>
                <w:sz w:val="24"/>
                <w:highlight w:val="none"/>
              </w:rPr>
            </w:pPr>
            <w:r>
              <w:rPr>
                <w:color w:val="auto"/>
                <w:sz w:val="24"/>
                <w:highlight w:val="none"/>
              </w:rPr>
              <w:t>经以上防渗措施处理后，可有效阻止污染物下渗，对区域地下水影响较小。</w:t>
            </w:r>
          </w:p>
          <w:p>
            <w:pPr>
              <w:tabs>
                <w:tab w:val="left" w:pos="6420"/>
              </w:tabs>
              <w:autoSpaceDE w:val="0"/>
              <w:autoSpaceDN w:val="0"/>
              <w:spacing w:line="480" w:lineRule="exact"/>
              <w:ind w:left="6" w:leftChars="3" w:firstLine="480" w:firstLineChars="200"/>
              <w:jc w:val="left"/>
              <w:rPr>
                <w:color w:val="auto"/>
                <w:sz w:val="24"/>
                <w:highlight w:val="none"/>
              </w:rPr>
            </w:pPr>
            <w:r>
              <w:rPr>
                <w:color w:val="auto"/>
                <w:sz w:val="24"/>
                <w:highlight w:val="none"/>
              </w:rPr>
              <w:t>因此，本项目不会对周围水环境产生明显影响。</w:t>
            </w:r>
          </w:p>
          <w:p>
            <w:pPr>
              <w:pStyle w:val="6"/>
              <w:tabs>
                <w:tab w:val="left" w:pos="3105"/>
              </w:tabs>
              <w:spacing w:before="0" w:after="0" w:line="480" w:lineRule="exact"/>
              <w:ind w:firstLine="480" w:firstLineChars="200"/>
              <w:jc w:val="left"/>
              <w:rPr>
                <w:b w:val="0"/>
                <w:bCs w:val="0"/>
                <w:color w:val="auto"/>
                <w:sz w:val="24"/>
                <w:szCs w:val="24"/>
                <w:highlight w:val="none"/>
              </w:rPr>
            </w:pPr>
            <w:r>
              <w:rPr>
                <w:b w:val="0"/>
                <w:bCs w:val="0"/>
                <w:color w:val="auto"/>
                <w:sz w:val="24"/>
                <w:szCs w:val="24"/>
                <w:highlight w:val="none"/>
              </w:rPr>
              <w:t>（3）声环境影响分析</w:t>
            </w:r>
          </w:p>
          <w:p>
            <w:pPr>
              <w:spacing w:line="480" w:lineRule="exact"/>
              <w:ind w:firstLine="480" w:firstLineChars="200"/>
              <w:jc w:val="left"/>
              <w:rPr>
                <w:color w:val="auto"/>
                <w:spacing w:val="8"/>
                <w:kern w:val="24"/>
                <w:sz w:val="24"/>
                <w:highlight w:val="none"/>
                <w:lang w:val="zh-CN"/>
              </w:rPr>
            </w:pPr>
            <w:r>
              <w:rPr>
                <w:color w:val="auto"/>
                <w:sz w:val="24"/>
                <w:highlight w:val="none"/>
              </w:rPr>
              <w:t>本项目主要噪声源为</w:t>
            </w:r>
            <w:r>
              <w:rPr>
                <w:rFonts w:hint="eastAsia"/>
                <w:color w:val="auto"/>
                <w:sz w:val="24"/>
                <w:highlight w:val="none"/>
              </w:rPr>
              <w:t>数控火焰切割机</w:t>
            </w:r>
            <w:r>
              <w:rPr>
                <w:rFonts w:hint="eastAsia"/>
                <w:color w:val="auto"/>
                <w:sz w:val="24"/>
                <w:highlight w:val="none"/>
                <w:lang w:eastAsia="zh-CN"/>
              </w:rPr>
              <w:t>、</w:t>
            </w:r>
            <w:r>
              <w:rPr>
                <w:rFonts w:hint="eastAsia"/>
                <w:color w:val="auto"/>
                <w:sz w:val="24"/>
                <w:highlight w:val="none"/>
              </w:rPr>
              <w:t>锯床</w:t>
            </w:r>
            <w:r>
              <w:rPr>
                <w:rFonts w:hint="eastAsia"/>
                <w:color w:val="auto"/>
                <w:sz w:val="24"/>
                <w:highlight w:val="none"/>
                <w:lang w:eastAsia="zh-CN"/>
              </w:rPr>
              <w:t>、</w:t>
            </w:r>
            <w:r>
              <w:rPr>
                <w:rFonts w:hint="eastAsia"/>
                <w:color w:val="auto"/>
                <w:sz w:val="24"/>
                <w:highlight w:val="none"/>
              </w:rPr>
              <w:t>卷板机</w:t>
            </w:r>
            <w:r>
              <w:rPr>
                <w:rFonts w:hint="eastAsia"/>
                <w:color w:val="auto"/>
                <w:sz w:val="24"/>
                <w:highlight w:val="none"/>
                <w:lang w:eastAsia="zh-CN"/>
              </w:rPr>
              <w:t>、</w:t>
            </w:r>
            <w:r>
              <w:rPr>
                <w:rFonts w:hint="eastAsia"/>
                <w:color w:val="auto"/>
                <w:sz w:val="24"/>
                <w:highlight w:val="none"/>
              </w:rPr>
              <w:t>加工中心</w:t>
            </w:r>
            <w:r>
              <w:rPr>
                <w:rFonts w:hint="eastAsia"/>
                <w:color w:val="auto"/>
                <w:sz w:val="24"/>
                <w:highlight w:val="none"/>
                <w:lang w:eastAsia="zh-CN"/>
              </w:rPr>
              <w:t>、</w:t>
            </w:r>
            <w:r>
              <w:rPr>
                <w:rFonts w:hint="eastAsia"/>
                <w:color w:val="auto"/>
                <w:sz w:val="24"/>
                <w:highlight w:val="none"/>
              </w:rPr>
              <w:t>车床</w:t>
            </w:r>
            <w:r>
              <w:rPr>
                <w:rFonts w:hint="eastAsia"/>
                <w:color w:val="auto"/>
                <w:sz w:val="24"/>
                <w:highlight w:val="none"/>
                <w:lang w:eastAsia="zh-CN"/>
              </w:rPr>
              <w:t>、钻床、</w:t>
            </w:r>
            <w:r>
              <w:rPr>
                <w:rFonts w:hint="eastAsia"/>
                <w:color w:val="auto"/>
                <w:sz w:val="24"/>
                <w:highlight w:val="none"/>
              </w:rPr>
              <w:t>磨床</w:t>
            </w:r>
            <w:r>
              <w:rPr>
                <w:rFonts w:hint="eastAsia"/>
                <w:color w:val="auto"/>
                <w:sz w:val="24"/>
                <w:highlight w:val="none"/>
                <w:lang w:eastAsia="zh-CN"/>
              </w:rPr>
              <w:t>、</w:t>
            </w:r>
            <w:r>
              <w:rPr>
                <w:rFonts w:hint="eastAsia"/>
                <w:color w:val="auto"/>
                <w:sz w:val="24"/>
                <w:highlight w:val="none"/>
              </w:rPr>
              <w:t>镗床</w:t>
            </w:r>
            <w:r>
              <w:rPr>
                <w:rFonts w:hint="eastAsia"/>
                <w:color w:val="auto"/>
                <w:sz w:val="24"/>
                <w:highlight w:val="none"/>
                <w:lang w:eastAsia="zh-CN"/>
              </w:rPr>
              <w:t>、</w:t>
            </w:r>
            <w:r>
              <w:rPr>
                <w:rFonts w:hint="eastAsia"/>
                <w:color w:val="auto"/>
                <w:sz w:val="24"/>
                <w:highlight w:val="none"/>
              </w:rPr>
              <w:t>自制抛光机</w:t>
            </w:r>
            <w:r>
              <w:rPr>
                <w:rFonts w:hint="eastAsia"/>
                <w:color w:val="auto"/>
                <w:sz w:val="24"/>
                <w:highlight w:val="none"/>
                <w:lang w:eastAsia="zh-CN"/>
              </w:rPr>
              <w:t>、电阻炉、风机</w:t>
            </w:r>
            <w:r>
              <w:rPr>
                <w:rFonts w:hint="default" w:ascii="Times New Roman" w:hAnsi="Times New Roman" w:cs="Times New Roman"/>
                <w:color w:val="auto"/>
                <w:spacing w:val="8"/>
                <w:kern w:val="24"/>
                <w:sz w:val="24"/>
                <w:highlight w:val="none"/>
                <w:lang w:val="zh-CN"/>
              </w:rPr>
              <w:t>等设备</w:t>
            </w:r>
            <w:r>
              <w:rPr>
                <w:rFonts w:hint="default"/>
                <w:color w:val="auto"/>
                <w:sz w:val="24"/>
                <w:highlight w:val="none"/>
                <w:lang w:val="zh-CN"/>
              </w:rPr>
              <w:t>产生的噪声</w:t>
            </w:r>
            <w:r>
              <w:rPr>
                <w:color w:val="auto"/>
                <w:sz w:val="24"/>
                <w:highlight w:val="none"/>
              </w:rPr>
              <w:t>，噪声源强约为</w:t>
            </w:r>
            <w:r>
              <w:rPr>
                <w:rFonts w:hint="eastAsia"/>
                <w:color w:val="auto"/>
                <w:sz w:val="24"/>
                <w:highlight w:val="none"/>
                <w:lang w:val="en-US" w:eastAsia="zh-CN"/>
              </w:rPr>
              <w:t>80</w:t>
            </w:r>
            <w:r>
              <w:rPr>
                <w:color w:val="auto"/>
                <w:sz w:val="24"/>
                <w:highlight w:val="none"/>
              </w:rPr>
              <w:t>~</w:t>
            </w:r>
            <w:r>
              <w:rPr>
                <w:rFonts w:hint="eastAsia"/>
                <w:color w:val="auto"/>
                <w:sz w:val="24"/>
                <w:highlight w:val="none"/>
                <w:lang w:val="en-US" w:eastAsia="zh-CN"/>
              </w:rPr>
              <w:t>90</w:t>
            </w:r>
            <w:r>
              <w:rPr>
                <w:color w:val="auto"/>
                <w:sz w:val="24"/>
                <w:highlight w:val="none"/>
              </w:rPr>
              <w:t>dB（A）。</w:t>
            </w:r>
            <w:r>
              <w:rPr>
                <w:color w:val="auto"/>
                <w:sz w:val="24"/>
                <w:highlight w:val="none"/>
                <w:lang w:val="zh-CN"/>
              </w:rPr>
              <w:t>采取</w:t>
            </w:r>
            <w:r>
              <w:rPr>
                <w:color w:val="auto"/>
                <w:sz w:val="24"/>
                <w:highlight w:val="none"/>
              </w:rPr>
              <w:t>厂房隔声、基础减振</w:t>
            </w:r>
            <w:r>
              <w:rPr>
                <w:color w:val="auto"/>
                <w:sz w:val="24"/>
                <w:highlight w:val="none"/>
                <w:lang w:val="zh-CN"/>
              </w:rPr>
              <w:t>等措施，</w:t>
            </w:r>
            <w:r>
              <w:rPr>
                <w:color w:val="auto"/>
                <w:sz w:val="24"/>
                <w:highlight w:val="none"/>
              </w:rPr>
              <w:t>并经距离衰减</w:t>
            </w:r>
            <w:r>
              <w:rPr>
                <w:color w:val="auto"/>
                <w:spacing w:val="8"/>
                <w:kern w:val="24"/>
                <w:sz w:val="24"/>
                <w:highlight w:val="none"/>
                <w:lang w:val="zh-CN"/>
              </w:rPr>
              <w:t>等措施，噪</w:t>
            </w:r>
            <w:r>
              <w:rPr>
                <w:color w:val="auto"/>
                <w:sz w:val="24"/>
                <w:highlight w:val="none"/>
              </w:rPr>
              <w:t>声值可降低</w:t>
            </w:r>
            <w:r>
              <w:rPr>
                <w:rFonts w:hint="eastAsia"/>
                <w:color w:val="auto"/>
                <w:sz w:val="24"/>
                <w:highlight w:val="none"/>
              </w:rPr>
              <w:t>2</w:t>
            </w:r>
            <w:r>
              <w:rPr>
                <w:rFonts w:hint="eastAsia"/>
                <w:color w:val="auto"/>
                <w:sz w:val="24"/>
                <w:highlight w:val="none"/>
                <w:lang w:val="en-US" w:eastAsia="zh-CN"/>
              </w:rPr>
              <w:t>0</w:t>
            </w:r>
            <w:r>
              <w:rPr>
                <w:color w:val="auto"/>
                <w:sz w:val="24"/>
                <w:highlight w:val="none"/>
              </w:rPr>
              <w:t>dB(A)，</w:t>
            </w:r>
            <w:r>
              <w:rPr>
                <w:color w:val="auto"/>
                <w:spacing w:val="8"/>
                <w:kern w:val="24"/>
                <w:sz w:val="24"/>
                <w:highlight w:val="none"/>
                <w:lang w:val="zh-CN"/>
              </w:rPr>
              <w:t>本项目产噪设备源强见表</w:t>
            </w:r>
            <w:r>
              <w:rPr>
                <w:rFonts w:hint="eastAsia"/>
                <w:color w:val="auto"/>
                <w:spacing w:val="8"/>
                <w:kern w:val="24"/>
                <w:sz w:val="24"/>
                <w:highlight w:val="none"/>
                <w:lang w:val="en-US" w:eastAsia="zh-CN"/>
              </w:rPr>
              <w:t>30</w:t>
            </w:r>
            <w:r>
              <w:rPr>
                <w:color w:val="auto"/>
                <w:spacing w:val="8"/>
                <w:kern w:val="24"/>
                <w:sz w:val="24"/>
                <w:highlight w:val="none"/>
                <w:lang w:val="zh-CN"/>
              </w:rPr>
              <w:t>。</w:t>
            </w:r>
          </w:p>
          <w:p>
            <w:pPr>
              <w:spacing w:line="360" w:lineRule="auto"/>
              <w:ind w:firstLine="480" w:firstLineChars="200"/>
              <w:jc w:val="left"/>
              <w:rPr>
                <w:color w:val="auto"/>
                <w:sz w:val="24"/>
                <w:highlight w:val="none"/>
              </w:rPr>
            </w:pPr>
            <w:r>
              <w:rPr>
                <w:color w:val="auto"/>
                <w:sz w:val="24"/>
                <w:highlight w:val="none"/>
              </w:rPr>
              <w:t>1、噪声源强分析</w:t>
            </w:r>
          </w:p>
          <w:p>
            <w:pPr>
              <w:spacing w:line="440" w:lineRule="exact"/>
              <w:jc w:val="center"/>
              <w:rPr>
                <w:b/>
                <w:bCs/>
                <w:color w:val="auto"/>
                <w:szCs w:val="21"/>
                <w:highlight w:val="none"/>
              </w:rPr>
            </w:pPr>
            <w:r>
              <w:rPr>
                <w:b/>
                <w:bCs/>
                <w:color w:val="auto"/>
                <w:sz w:val="24"/>
                <w:szCs w:val="28"/>
                <w:highlight w:val="none"/>
              </w:rPr>
              <w:t>表</w:t>
            </w:r>
            <w:r>
              <w:rPr>
                <w:rFonts w:hint="eastAsia"/>
                <w:b/>
                <w:bCs/>
                <w:color w:val="auto"/>
                <w:sz w:val="24"/>
                <w:szCs w:val="28"/>
                <w:highlight w:val="none"/>
                <w:lang w:val="en-US" w:eastAsia="zh-CN"/>
              </w:rPr>
              <w:t>30</w:t>
            </w:r>
            <w:r>
              <w:rPr>
                <w:rFonts w:hint="eastAsia"/>
                <w:b/>
                <w:bCs/>
                <w:color w:val="auto"/>
                <w:sz w:val="24"/>
                <w:szCs w:val="28"/>
                <w:highlight w:val="none"/>
              </w:rPr>
              <w:t xml:space="preserve">    </w:t>
            </w:r>
            <w:r>
              <w:rPr>
                <w:b/>
                <w:bCs/>
                <w:color w:val="auto"/>
                <w:sz w:val="24"/>
                <w:highlight w:val="none"/>
              </w:rPr>
              <w:t>项目噪声污染源源强核算及相关参数一览表</w:t>
            </w:r>
          </w:p>
          <w:tbl>
            <w:tblPr>
              <w:tblStyle w:val="31"/>
              <w:tblW w:w="91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811"/>
              <w:gridCol w:w="951"/>
              <w:gridCol w:w="931"/>
              <w:gridCol w:w="2054"/>
              <w:gridCol w:w="953"/>
              <w:gridCol w:w="882"/>
              <w:gridCol w:w="8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Merge w:val="restart"/>
                  <w:vAlign w:val="center"/>
                </w:tcPr>
                <w:p>
                  <w:pPr>
                    <w:pStyle w:val="51"/>
                    <w:spacing w:line="0" w:lineRule="atLeast"/>
                    <w:jc w:val="center"/>
                    <w:rPr>
                      <w:color w:val="auto"/>
                      <w:szCs w:val="21"/>
                      <w:highlight w:val="none"/>
                    </w:rPr>
                  </w:pPr>
                  <w:r>
                    <w:rPr>
                      <w:color w:val="auto"/>
                      <w:szCs w:val="21"/>
                      <w:highlight w:val="none"/>
                    </w:rPr>
                    <w:t>噪声源</w:t>
                  </w:r>
                </w:p>
              </w:tc>
              <w:tc>
                <w:tcPr>
                  <w:tcW w:w="811" w:type="dxa"/>
                  <w:vMerge w:val="restart"/>
                  <w:vAlign w:val="center"/>
                </w:tcPr>
                <w:p>
                  <w:pPr>
                    <w:pStyle w:val="51"/>
                    <w:spacing w:line="0" w:lineRule="atLeast"/>
                    <w:jc w:val="center"/>
                    <w:rPr>
                      <w:color w:val="auto"/>
                      <w:szCs w:val="21"/>
                      <w:highlight w:val="none"/>
                    </w:rPr>
                  </w:pPr>
                  <w:r>
                    <w:rPr>
                      <w:color w:val="auto"/>
                      <w:szCs w:val="21"/>
                      <w:highlight w:val="none"/>
                    </w:rPr>
                    <w:t>声源类型</w:t>
                  </w:r>
                </w:p>
              </w:tc>
              <w:tc>
                <w:tcPr>
                  <w:tcW w:w="1882" w:type="dxa"/>
                  <w:gridSpan w:val="2"/>
                  <w:vAlign w:val="center"/>
                </w:tcPr>
                <w:p>
                  <w:pPr>
                    <w:spacing w:line="0" w:lineRule="atLeast"/>
                    <w:jc w:val="center"/>
                    <w:rPr>
                      <w:color w:val="auto"/>
                      <w:szCs w:val="21"/>
                      <w:highlight w:val="none"/>
                    </w:rPr>
                  </w:pPr>
                  <w:r>
                    <w:rPr>
                      <w:color w:val="auto"/>
                      <w:szCs w:val="21"/>
                      <w:highlight w:val="none"/>
                    </w:rPr>
                    <w:t>噪声源强dB（A）</w:t>
                  </w:r>
                </w:p>
              </w:tc>
              <w:tc>
                <w:tcPr>
                  <w:tcW w:w="3007" w:type="dxa"/>
                  <w:gridSpan w:val="2"/>
                  <w:vAlign w:val="center"/>
                </w:tcPr>
                <w:p>
                  <w:pPr>
                    <w:spacing w:line="0" w:lineRule="atLeast"/>
                    <w:jc w:val="center"/>
                    <w:rPr>
                      <w:color w:val="auto"/>
                      <w:szCs w:val="21"/>
                      <w:highlight w:val="none"/>
                    </w:rPr>
                  </w:pPr>
                  <w:r>
                    <w:rPr>
                      <w:color w:val="auto"/>
                      <w:szCs w:val="21"/>
                      <w:highlight w:val="none"/>
                    </w:rPr>
                    <w:t>降噪措施</w:t>
                  </w:r>
                </w:p>
              </w:tc>
              <w:tc>
                <w:tcPr>
                  <w:tcW w:w="1682" w:type="dxa"/>
                  <w:gridSpan w:val="2"/>
                  <w:vAlign w:val="center"/>
                </w:tcPr>
                <w:p>
                  <w:pPr>
                    <w:spacing w:line="0" w:lineRule="atLeast"/>
                    <w:jc w:val="center"/>
                    <w:rPr>
                      <w:color w:val="auto"/>
                      <w:szCs w:val="21"/>
                      <w:highlight w:val="none"/>
                    </w:rPr>
                  </w:pPr>
                  <w:r>
                    <w:rPr>
                      <w:color w:val="auto"/>
                      <w:szCs w:val="21"/>
                      <w:highlight w:val="none"/>
                    </w:rPr>
                    <w:t>噪声排放值dB（A）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Merge w:val="continue"/>
                  <w:vAlign w:val="center"/>
                </w:tcPr>
                <w:p>
                  <w:pPr>
                    <w:pStyle w:val="51"/>
                    <w:spacing w:line="0" w:lineRule="atLeast"/>
                    <w:ind w:firstLine="210"/>
                    <w:jc w:val="center"/>
                    <w:rPr>
                      <w:color w:val="auto"/>
                      <w:szCs w:val="21"/>
                      <w:highlight w:val="none"/>
                    </w:rPr>
                  </w:pPr>
                </w:p>
              </w:tc>
              <w:tc>
                <w:tcPr>
                  <w:tcW w:w="811" w:type="dxa"/>
                  <w:vMerge w:val="continue"/>
                  <w:vAlign w:val="center"/>
                </w:tcPr>
                <w:p>
                  <w:pPr>
                    <w:pStyle w:val="51"/>
                    <w:spacing w:line="0" w:lineRule="atLeast"/>
                    <w:ind w:firstLine="210"/>
                    <w:jc w:val="center"/>
                    <w:rPr>
                      <w:color w:val="auto"/>
                      <w:szCs w:val="21"/>
                      <w:highlight w:val="none"/>
                    </w:rPr>
                  </w:pPr>
                </w:p>
              </w:tc>
              <w:tc>
                <w:tcPr>
                  <w:tcW w:w="951" w:type="dxa"/>
                  <w:vAlign w:val="center"/>
                </w:tcPr>
                <w:p>
                  <w:pPr>
                    <w:spacing w:line="0" w:lineRule="atLeast"/>
                    <w:jc w:val="center"/>
                    <w:rPr>
                      <w:color w:val="auto"/>
                      <w:szCs w:val="21"/>
                      <w:highlight w:val="none"/>
                    </w:rPr>
                  </w:pPr>
                  <w:r>
                    <w:rPr>
                      <w:color w:val="auto"/>
                      <w:szCs w:val="21"/>
                      <w:highlight w:val="none"/>
                    </w:rPr>
                    <w:t>核算方法</w:t>
                  </w:r>
                </w:p>
              </w:tc>
              <w:tc>
                <w:tcPr>
                  <w:tcW w:w="931" w:type="dxa"/>
                  <w:vAlign w:val="center"/>
                </w:tcPr>
                <w:p>
                  <w:pPr>
                    <w:spacing w:line="0" w:lineRule="atLeast"/>
                    <w:jc w:val="center"/>
                    <w:rPr>
                      <w:color w:val="auto"/>
                      <w:szCs w:val="21"/>
                      <w:highlight w:val="none"/>
                    </w:rPr>
                  </w:pPr>
                  <w:r>
                    <w:rPr>
                      <w:color w:val="auto"/>
                      <w:szCs w:val="21"/>
                      <w:highlight w:val="none"/>
                    </w:rPr>
                    <w:t>噪声值</w:t>
                  </w:r>
                </w:p>
              </w:tc>
              <w:tc>
                <w:tcPr>
                  <w:tcW w:w="2054" w:type="dxa"/>
                  <w:vAlign w:val="center"/>
                </w:tcPr>
                <w:p>
                  <w:pPr>
                    <w:spacing w:line="0" w:lineRule="atLeast"/>
                    <w:jc w:val="center"/>
                    <w:rPr>
                      <w:color w:val="auto"/>
                      <w:szCs w:val="21"/>
                      <w:highlight w:val="none"/>
                    </w:rPr>
                  </w:pPr>
                  <w:r>
                    <w:rPr>
                      <w:color w:val="auto"/>
                      <w:szCs w:val="21"/>
                      <w:highlight w:val="none"/>
                    </w:rPr>
                    <w:t>工艺</w:t>
                  </w:r>
                </w:p>
              </w:tc>
              <w:tc>
                <w:tcPr>
                  <w:tcW w:w="953" w:type="dxa"/>
                  <w:vAlign w:val="center"/>
                </w:tcPr>
                <w:p>
                  <w:pPr>
                    <w:spacing w:line="0" w:lineRule="atLeast"/>
                    <w:jc w:val="center"/>
                    <w:rPr>
                      <w:color w:val="auto"/>
                      <w:szCs w:val="21"/>
                      <w:highlight w:val="none"/>
                    </w:rPr>
                  </w:pPr>
                  <w:r>
                    <w:rPr>
                      <w:color w:val="auto"/>
                      <w:szCs w:val="21"/>
                      <w:highlight w:val="none"/>
                    </w:rPr>
                    <w:t>降噪效果</w:t>
                  </w:r>
                </w:p>
              </w:tc>
              <w:tc>
                <w:tcPr>
                  <w:tcW w:w="882" w:type="dxa"/>
                  <w:vAlign w:val="center"/>
                </w:tcPr>
                <w:p>
                  <w:pPr>
                    <w:spacing w:line="0" w:lineRule="atLeast"/>
                    <w:jc w:val="center"/>
                    <w:rPr>
                      <w:color w:val="auto"/>
                      <w:szCs w:val="21"/>
                      <w:highlight w:val="none"/>
                    </w:rPr>
                  </w:pPr>
                  <w:r>
                    <w:rPr>
                      <w:color w:val="auto"/>
                      <w:szCs w:val="21"/>
                      <w:highlight w:val="none"/>
                    </w:rPr>
                    <w:t>核算方法</w:t>
                  </w:r>
                </w:p>
              </w:tc>
              <w:tc>
                <w:tcPr>
                  <w:tcW w:w="800" w:type="dxa"/>
                  <w:vAlign w:val="center"/>
                </w:tcPr>
                <w:p>
                  <w:pPr>
                    <w:spacing w:line="0" w:lineRule="atLeast"/>
                    <w:jc w:val="center"/>
                    <w:rPr>
                      <w:color w:val="auto"/>
                      <w:szCs w:val="21"/>
                      <w:highlight w:val="none"/>
                    </w:rPr>
                  </w:pPr>
                  <w:r>
                    <w:rPr>
                      <w:color w:val="auto"/>
                      <w:szCs w:val="21"/>
                      <w:highlight w:val="none"/>
                    </w:rPr>
                    <w:t>噪声值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数控火焰切割机</w:t>
                  </w:r>
                </w:p>
              </w:tc>
              <w:tc>
                <w:tcPr>
                  <w:tcW w:w="811" w:type="dxa"/>
                  <w:vAlign w:val="center"/>
                </w:tcPr>
                <w:p>
                  <w:pPr>
                    <w:spacing w:line="0" w:lineRule="atLeast"/>
                    <w:jc w:val="center"/>
                    <w:rPr>
                      <w:color w:val="auto"/>
                      <w:szCs w:val="21"/>
                      <w:highlight w:val="none"/>
                    </w:rPr>
                  </w:pPr>
                  <w:r>
                    <w:rPr>
                      <w:rFonts w:hint="eastAsia"/>
                      <w:color w:val="auto"/>
                      <w:szCs w:val="21"/>
                      <w:highlight w:val="none"/>
                    </w:rPr>
                    <w:t>偶发</w:t>
                  </w:r>
                </w:p>
              </w:tc>
              <w:tc>
                <w:tcPr>
                  <w:tcW w:w="951" w:type="dxa"/>
                  <w:vAlign w:val="center"/>
                </w:tcPr>
                <w:p>
                  <w:pPr>
                    <w:spacing w:line="0" w:lineRule="atLeast"/>
                    <w:jc w:val="center"/>
                    <w:rPr>
                      <w:color w:val="auto"/>
                      <w:szCs w:val="21"/>
                      <w:highlight w:val="none"/>
                    </w:rPr>
                  </w:pPr>
                  <w:r>
                    <w:rPr>
                      <w:snapToGrid w:val="0"/>
                      <w:color w:val="auto"/>
                      <w:szCs w:val="21"/>
                      <w:highlight w:val="none"/>
                    </w:rPr>
                    <w:t>类比法</w:t>
                  </w:r>
                </w:p>
              </w:tc>
              <w:tc>
                <w:tcPr>
                  <w:tcW w:w="931" w:type="dxa"/>
                  <w:vAlign w:val="center"/>
                </w:tcPr>
                <w:p>
                  <w:pPr>
                    <w:pStyle w:val="51"/>
                    <w:spacing w:line="0" w:lineRule="atLeast"/>
                    <w:jc w:val="center"/>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85</w:t>
                  </w:r>
                </w:p>
              </w:tc>
              <w:tc>
                <w:tcPr>
                  <w:tcW w:w="2054" w:type="dxa"/>
                  <w:vAlign w:val="center"/>
                </w:tcPr>
                <w:p>
                  <w:pPr>
                    <w:spacing w:line="0" w:lineRule="atLeast"/>
                    <w:jc w:val="center"/>
                    <w:rPr>
                      <w:color w:val="auto"/>
                      <w:szCs w:val="21"/>
                      <w:highlight w:val="none"/>
                    </w:rPr>
                  </w:pPr>
                  <w:r>
                    <w:rPr>
                      <w:color w:val="auto"/>
                      <w:szCs w:val="21"/>
                      <w:highlight w:val="none"/>
                    </w:rPr>
                    <w:t>基础减振，厂房隔声</w:t>
                  </w:r>
                </w:p>
              </w:tc>
              <w:tc>
                <w:tcPr>
                  <w:tcW w:w="953"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类比法</w:t>
                  </w:r>
                </w:p>
              </w:tc>
              <w:tc>
                <w:tcPr>
                  <w:tcW w:w="800"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val="en-US" w:eastAsia="zh-CN"/>
                    </w:rPr>
                    <w:t>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锯床</w:t>
                  </w:r>
                </w:p>
              </w:tc>
              <w:tc>
                <w:tcPr>
                  <w:tcW w:w="811" w:type="dxa"/>
                  <w:vAlign w:val="center"/>
                </w:tcPr>
                <w:p>
                  <w:pPr>
                    <w:spacing w:line="0" w:lineRule="atLeast"/>
                    <w:jc w:val="center"/>
                    <w:rPr>
                      <w:rFonts w:hint="eastAsia"/>
                      <w:color w:val="auto"/>
                      <w:szCs w:val="21"/>
                      <w:highlight w:val="none"/>
                    </w:rPr>
                  </w:pPr>
                  <w:r>
                    <w:rPr>
                      <w:rFonts w:hint="eastAsia"/>
                      <w:color w:val="auto"/>
                      <w:szCs w:val="21"/>
                      <w:highlight w:val="none"/>
                    </w:rPr>
                    <w:t>偶发</w:t>
                  </w:r>
                </w:p>
              </w:tc>
              <w:tc>
                <w:tcPr>
                  <w:tcW w:w="951" w:type="dxa"/>
                  <w:vAlign w:val="center"/>
                </w:tcPr>
                <w:p>
                  <w:pPr>
                    <w:spacing w:line="0" w:lineRule="atLeast"/>
                    <w:jc w:val="center"/>
                    <w:rPr>
                      <w:rFonts w:hint="eastAsia" w:eastAsia="宋体"/>
                      <w:snapToGrid w:val="0"/>
                      <w:color w:val="auto"/>
                      <w:szCs w:val="21"/>
                      <w:highlight w:val="none"/>
                      <w:lang w:eastAsia="zh-CN"/>
                    </w:rPr>
                  </w:pPr>
                  <w:r>
                    <w:rPr>
                      <w:rFonts w:hint="eastAsia"/>
                      <w:snapToGrid w:val="0"/>
                      <w:color w:val="auto"/>
                      <w:szCs w:val="21"/>
                      <w:highlight w:val="none"/>
                      <w:lang w:eastAsia="zh-CN"/>
                    </w:rPr>
                    <w:t>类比法</w:t>
                  </w:r>
                </w:p>
              </w:tc>
              <w:tc>
                <w:tcPr>
                  <w:tcW w:w="931" w:type="dxa"/>
                  <w:vAlign w:val="center"/>
                </w:tcPr>
                <w:p>
                  <w:pPr>
                    <w:pStyle w:val="51"/>
                    <w:spacing w:line="0" w:lineRule="atLeas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90</w:t>
                  </w:r>
                </w:p>
              </w:tc>
              <w:tc>
                <w:tcPr>
                  <w:tcW w:w="2054" w:type="dxa"/>
                  <w:vAlign w:val="center"/>
                </w:tcPr>
                <w:p>
                  <w:pPr>
                    <w:spacing w:line="0" w:lineRule="atLeast"/>
                    <w:jc w:val="center"/>
                    <w:rPr>
                      <w:color w:val="auto"/>
                      <w:szCs w:val="21"/>
                      <w:highlight w:val="none"/>
                    </w:rPr>
                  </w:pPr>
                  <w:r>
                    <w:rPr>
                      <w:color w:val="auto"/>
                      <w:szCs w:val="21"/>
                      <w:highlight w:val="none"/>
                    </w:rPr>
                    <w:t>基础减振，厂房隔声</w:t>
                  </w:r>
                </w:p>
              </w:tc>
              <w:tc>
                <w:tcPr>
                  <w:tcW w:w="953" w:type="dxa"/>
                  <w:vAlign w:val="center"/>
                </w:tcPr>
                <w:p>
                  <w:pPr>
                    <w:spacing w:line="0" w:lineRule="atLeast"/>
                    <w:jc w:val="center"/>
                    <w:rPr>
                      <w:rFonts w:hint="default"/>
                      <w:color w:val="auto"/>
                      <w:szCs w:val="21"/>
                      <w:highlight w:val="none"/>
                      <w:lang w:val="en-US" w:eastAsia="zh-CN"/>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color w:val="auto"/>
                      <w:szCs w:val="21"/>
                      <w:highlight w:val="none"/>
                      <w:lang w:val="en-US" w:eastAsia="zh-CN"/>
                    </w:rPr>
                  </w:pPr>
                  <w:r>
                    <w:rPr>
                      <w:rFonts w:hint="eastAsia"/>
                      <w:color w:val="auto"/>
                      <w:szCs w:val="21"/>
                      <w:highlight w:val="none"/>
                      <w:lang w:eastAsia="zh-CN"/>
                    </w:rPr>
                    <w:t>类比法</w:t>
                  </w:r>
                </w:p>
              </w:tc>
              <w:tc>
                <w:tcPr>
                  <w:tcW w:w="800" w:type="dxa"/>
                  <w:vAlign w:val="center"/>
                </w:tcPr>
                <w:p>
                  <w:pPr>
                    <w:spacing w:line="0" w:lineRule="atLeast"/>
                    <w:jc w:val="center"/>
                    <w:rPr>
                      <w:rFonts w:hint="default"/>
                      <w:color w:val="auto"/>
                      <w:szCs w:val="21"/>
                      <w:highlight w:val="none"/>
                      <w:lang w:val="en-US" w:eastAsia="zh-CN"/>
                    </w:rPr>
                  </w:pPr>
                  <w:r>
                    <w:rPr>
                      <w:rFonts w:hint="eastAsia"/>
                      <w:color w:val="auto"/>
                      <w:szCs w:val="21"/>
                      <w:highlight w:val="none"/>
                      <w:lang w:val="en-US" w:eastAsia="zh-CN"/>
                    </w:rPr>
                    <w:t>70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卷板机</w:t>
                  </w:r>
                </w:p>
              </w:tc>
              <w:tc>
                <w:tcPr>
                  <w:tcW w:w="811" w:type="dxa"/>
                  <w:vAlign w:val="center"/>
                </w:tcPr>
                <w:p>
                  <w:pPr>
                    <w:spacing w:line="0" w:lineRule="atLeast"/>
                    <w:jc w:val="center"/>
                    <w:rPr>
                      <w:color w:val="auto"/>
                      <w:szCs w:val="21"/>
                      <w:highlight w:val="none"/>
                    </w:rPr>
                  </w:pPr>
                  <w:r>
                    <w:rPr>
                      <w:rFonts w:hint="eastAsia"/>
                      <w:color w:val="auto"/>
                      <w:szCs w:val="21"/>
                      <w:highlight w:val="none"/>
                    </w:rPr>
                    <w:t>偶发</w:t>
                  </w:r>
                </w:p>
              </w:tc>
              <w:tc>
                <w:tcPr>
                  <w:tcW w:w="951" w:type="dxa"/>
                  <w:vAlign w:val="center"/>
                </w:tcPr>
                <w:p>
                  <w:pPr>
                    <w:spacing w:line="0" w:lineRule="atLeast"/>
                    <w:jc w:val="center"/>
                    <w:rPr>
                      <w:snapToGrid w:val="0"/>
                      <w:color w:val="auto"/>
                      <w:szCs w:val="21"/>
                      <w:highlight w:val="none"/>
                    </w:rPr>
                  </w:pPr>
                  <w:r>
                    <w:rPr>
                      <w:snapToGrid w:val="0"/>
                      <w:color w:val="auto"/>
                      <w:szCs w:val="21"/>
                      <w:highlight w:val="none"/>
                    </w:rPr>
                    <w:t>类比法</w:t>
                  </w:r>
                </w:p>
              </w:tc>
              <w:tc>
                <w:tcPr>
                  <w:tcW w:w="931" w:type="dxa"/>
                  <w:vAlign w:val="center"/>
                </w:tcPr>
                <w:p>
                  <w:pPr>
                    <w:pStyle w:val="51"/>
                    <w:spacing w:line="0" w:lineRule="atLeast"/>
                    <w:jc w:val="center"/>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80</w:t>
                  </w:r>
                </w:p>
              </w:tc>
              <w:tc>
                <w:tcPr>
                  <w:tcW w:w="2054" w:type="dxa"/>
                  <w:vAlign w:val="center"/>
                </w:tcPr>
                <w:p>
                  <w:pPr>
                    <w:pStyle w:val="51"/>
                    <w:spacing w:line="0" w:lineRule="atLeast"/>
                    <w:jc w:val="center"/>
                    <w:rPr>
                      <w:color w:val="auto"/>
                      <w:szCs w:val="21"/>
                      <w:highlight w:val="none"/>
                    </w:rPr>
                  </w:pPr>
                  <w:r>
                    <w:rPr>
                      <w:color w:val="auto"/>
                      <w:szCs w:val="21"/>
                      <w:highlight w:val="none"/>
                    </w:rPr>
                    <w:t>基础减振，厂房隔声</w:t>
                  </w:r>
                </w:p>
              </w:tc>
              <w:tc>
                <w:tcPr>
                  <w:tcW w:w="953"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类比法</w:t>
                  </w:r>
                </w:p>
              </w:tc>
              <w:tc>
                <w:tcPr>
                  <w:tcW w:w="800" w:type="dxa"/>
                  <w:vAlign w:val="center"/>
                </w:tcPr>
                <w:p>
                  <w:pPr>
                    <w:spacing w:line="0" w:lineRule="atLeast"/>
                    <w:jc w:val="center"/>
                    <w:rPr>
                      <w:rFonts w:hint="default"/>
                      <w:color w:val="auto"/>
                      <w:szCs w:val="21"/>
                      <w:highlight w:val="none"/>
                      <w:lang w:val="en-US" w:eastAsia="zh-CN"/>
                    </w:rPr>
                  </w:pPr>
                  <w:r>
                    <w:rPr>
                      <w:rFonts w:hint="eastAsia"/>
                      <w:color w:val="auto"/>
                      <w:szCs w:val="21"/>
                      <w:highlight w:val="none"/>
                      <w:lang w:val="en-US" w:eastAsia="zh-CN"/>
                    </w:rPr>
                    <w:t>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加工中心</w:t>
                  </w:r>
                </w:p>
              </w:tc>
              <w:tc>
                <w:tcPr>
                  <w:tcW w:w="811" w:type="dxa"/>
                  <w:vAlign w:val="center"/>
                </w:tcPr>
                <w:p>
                  <w:pPr>
                    <w:spacing w:line="0" w:lineRule="atLeast"/>
                    <w:jc w:val="center"/>
                    <w:rPr>
                      <w:color w:val="auto"/>
                      <w:szCs w:val="21"/>
                      <w:highlight w:val="none"/>
                    </w:rPr>
                  </w:pPr>
                  <w:r>
                    <w:rPr>
                      <w:rFonts w:hint="eastAsia"/>
                      <w:color w:val="auto"/>
                      <w:szCs w:val="21"/>
                      <w:highlight w:val="none"/>
                    </w:rPr>
                    <w:t>偶发</w:t>
                  </w:r>
                </w:p>
              </w:tc>
              <w:tc>
                <w:tcPr>
                  <w:tcW w:w="951" w:type="dxa"/>
                  <w:vAlign w:val="center"/>
                </w:tcPr>
                <w:p>
                  <w:pPr>
                    <w:spacing w:line="0" w:lineRule="atLeast"/>
                    <w:jc w:val="center"/>
                    <w:rPr>
                      <w:color w:val="auto"/>
                      <w:szCs w:val="21"/>
                      <w:highlight w:val="none"/>
                    </w:rPr>
                  </w:pPr>
                  <w:r>
                    <w:rPr>
                      <w:snapToGrid w:val="0"/>
                      <w:color w:val="auto"/>
                      <w:szCs w:val="21"/>
                      <w:highlight w:val="none"/>
                    </w:rPr>
                    <w:t>类比法</w:t>
                  </w:r>
                </w:p>
              </w:tc>
              <w:tc>
                <w:tcPr>
                  <w:tcW w:w="931" w:type="dxa"/>
                  <w:vAlign w:val="center"/>
                </w:tcPr>
                <w:p>
                  <w:pPr>
                    <w:pStyle w:val="51"/>
                    <w:spacing w:line="0" w:lineRule="atLeas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85</w:t>
                  </w:r>
                </w:p>
              </w:tc>
              <w:tc>
                <w:tcPr>
                  <w:tcW w:w="2054" w:type="dxa"/>
                  <w:vAlign w:val="center"/>
                </w:tcPr>
                <w:p>
                  <w:pPr>
                    <w:spacing w:line="0" w:lineRule="atLeast"/>
                    <w:jc w:val="center"/>
                    <w:rPr>
                      <w:color w:val="auto"/>
                      <w:szCs w:val="21"/>
                      <w:highlight w:val="none"/>
                    </w:rPr>
                  </w:pPr>
                  <w:r>
                    <w:rPr>
                      <w:color w:val="auto"/>
                      <w:szCs w:val="21"/>
                      <w:highlight w:val="none"/>
                    </w:rPr>
                    <w:t>基础减振，厂房隔声</w:t>
                  </w:r>
                </w:p>
              </w:tc>
              <w:tc>
                <w:tcPr>
                  <w:tcW w:w="953"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类比法</w:t>
                  </w:r>
                </w:p>
              </w:tc>
              <w:tc>
                <w:tcPr>
                  <w:tcW w:w="800" w:type="dxa"/>
                  <w:vAlign w:val="center"/>
                </w:tcPr>
                <w:p>
                  <w:pPr>
                    <w:spacing w:line="0" w:lineRule="atLeast"/>
                    <w:jc w:val="center"/>
                    <w:rPr>
                      <w:rFonts w:hint="default"/>
                      <w:color w:val="auto"/>
                      <w:szCs w:val="21"/>
                      <w:highlight w:val="none"/>
                      <w:lang w:val="en-US" w:eastAsia="zh-CN"/>
                    </w:rPr>
                  </w:pPr>
                  <w:r>
                    <w:rPr>
                      <w:rFonts w:hint="eastAsia"/>
                      <w:color w:val="auto"/>
                      <w:szCs w:val="21"/>
                      <w:highlight w:val="none"/>
                      <w:lang w:val="en-US" w:eastAsia="zh-CN"/>
                    </w:rPr>
                    <w:t>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车床</w:t>
                  </w:r>
                </w:p>
              </w:tc>
              <w:tc>
                <w:tcPr>
                  <w:tcW w:w="811" w:type="dxa"/>
                  <w:vAlign w:val="center"/>
                </w:tcPr>
                <w:p>
                  <w:pPr>
                    <w:spacing w:line="0" w:lineRule="atLeast"/>
                    <w:jc w:val="center"/>
                    <w:rPr>
                      <w:color w:val="auto"/>
                      <w:highlight w:val="none"/>
                    </w:rPr>
                  </w:pPr>
                  <w:r>
                    <w:rPr>
                      <w:rFonts w:hint="eastAsia"/>
                      <w:color w:val="auto"/>
                      <w:szCs w:val="21"/>
                      <w:highlight w:val="none"/>
                      <w:lang w:eastAsia="zh-CN"/>
                    </w:rPr>
                    <w:t>偶</w:t>
                  </w:r>
                  <w:r>
                    <w:rPr>
                      <w:color w:val="auto"/>
                      <w:szCs w:val="21"/>
                      <w:highlight w:val="none"/>
                    </w:rPr>
                    <w:t>发</w:t>
                  </w:r>
                </w:p>
              </w:tc>
              <w:tc>
                <w:tcPr>
                  <w:tcW w:w="951" w:type="dxa"/>
                  <w:vAlign w:val="center"/>
                </w:tcPr>
                <w:p>
                  <w:pPr>
                    <w:spacing w:line="0" w:lineRule="atLeast"/>
                    <w:jc w:val="center"/>
                    <w:rPr>
                      <w:snapToGrid w:val="0"/>
                      <w:color w:val="auto"/>
                      <w:szCs w:val="21"/>
                      <w:highlight w:val="none"/>
                    </w:rPr>
                  </w:pPr>
                  <w:r>
                    <w:rPr>
                      <w:snapToGrid w:val="0"/>
                      <w:color w:val="auto"/>
                      <w:szCs w:val="21"/>
                      <w:highlight w:val="none"/>
                    </w:rPr>
                    <w:t>类比法</w:t>
                  </w:r>
                </w:p>
              </w:tc>
              <w:tc>
                <w:tcPr>
                  <w:tcW w:w="931" w:type="dxa"/>
                  <w:vAlign w:val="center"/>
                </w:tcPr>
                <w:p>
                  <w:pPr>
                    <w:pStyle w:val="51"/>
                    <w:spacing w:line="0" w:lineRule="atLeas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80</w:t>
                  </w:r>
                </w:p>
              </w:tc>
              <w:tc>
                <w:tcPr>
                  <w:tcW w:w="2054" w:type="dxa"/>
                  <w:vAlign w:val="center"/>
                </w:tcPr>
                <w:p>
                  <w:pPr>
                    <w:spacing w:line="0" w:lineRule="atLeast"/>
                    <w:jc w:val="center"/>
                    <w:rPr>
                      <w:color w:val="auto"/>
                      <w:szCs w:val="21"/>
                      <w:highlight w:val="none"/>
                    </w:rPr>
                  </w:pPr>
                  <w:r>
                    <w:rPr>
                      <w:color w:val="auto"/>
                      <w:szCs w:val="21"/>
                      <w:highlight w:val="none"/>
                    </w:rPr>
                    <w:t>基础减振，厂房隔声</w:t>
                  </w:r>
                </w:p>
              </w:tc>
              <w:tc>
                <w:tcPr>
                  <w:tcW w:w="953"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类比法</w:t>
                  </w:r>
                </w:p>
              </w:tc>
              <w:tc>
                <w:tcPr>
                  <w:tcW w:w="800" w:type="dxa"/>
                  <w:vAlign w:val="center"/>
                </w:tcPr>
                <w:p>
                  <w:pPr>
                    <w:spacing w:line="0" w:lineRule="atLeast"/>
                    <w:jc w:val="center"/>
                    <w:rPr>
                      <w:rFonts w:hint="default"/>
                      <w:color w:val="auto"/>
                      <w:szCs w:val="21"/>
                      <w:highlight w:val="none"/>
                      <w:lang w:val="en-US" w:eastAsia="zh-CN"/>
                    </w:rPr>
                  </w:pPr>
                  <w:r>
                    <w:rPr>
                      <w:rFonts w:hint="eastAsia"/>
                      <w:color w:val="auto"/>
                      <w:szCs w:val="21"/>
                      <w:highlight w:val="none"/>
                      <w:lang w:val="en-US" w:eastAsia="zh-CN"/>
                    </w:rPr>
                    <w:t>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钻床</w:t>
                  </w:r>
                </w:p>
              </w:tc>
              <w:tc>
                <w:tcPr>
                  <w:tcW w:w="811" w:type="dxa"/>
                  <w:vAlign w:val="center"/>
                </w:tcPr>
                <w:p>
                  <w:pPr>
                    <w:spacing w:line="0" w:lineRule="atLeast"/>
                    <w:jc w:val="center"/>
                    <w:rPr>
                      <w:color w:val="auto"/>
                      <w:highlight w:val="none"/>
                    </w:rPr>
                  </w:pPr>
                  <w:r>
                    <w:rPr>
                      <w:rFonts w:hint="eastAsia"/>
                      <w:color w:val="auto"/>
                      <w:szCs w:val="21"/>
                      <w:highlight w:val="none"/>
                      <w:lang w:eastAsia="zh-CN"/>
                    </w:rPr>
                    <w:t>偶</w:t>
                  </w:r>
                  <w:r>
                    <w:rPr>
                      <w:color w:val="auto"/>
                      <w:szCs w:val="21"/>
                      <w:highlight w:val="none"/>
                    </w:rPr>
                    <w:t>发</w:t>
                  </w:r>
                </w:p>
              </w:tc>
              <w:tc>
                <w:tcPr>
                  <w:tcW w:w="951" w:type="dxa"/>
                  <w:vAlign w:val="center"/>
                </w:tcPr>
                <w:p>
                  <w:pPr>
                    <w:spacing w:line="0" w:lineRule="atLeast"/>
                    <w:jc w:val="center"/>
                    <w:rPr>
                      <w:color w:val="auto"/>
                      <w:szCs w:val="21"/>
                      <w:highlight w:val="none"/>
                    </w:rPr>
                  </w:pPr>
                  <w:r>
                    <w:rPr>
                      <w:snapToGrid w:val="0"/>
                      <w:color w:val="auto"/>
                      <w:szCs w:val="21"/>
                      <w:highlight w:val="none"/>
                    </w:rPr>
                    <w:t>类比法</w:t>
                  </w:r>
                </w:p>
              </w:tc>
              <w:tc>
                <w:tcPr>
                  <w:tcW w:w="931" w:type="dxa"/>
                  <w:vAlign w:val="center"/>
                </w:tcPr>
                <w:p>
                  <w:pPr>
                    <w:pStyle w:val="51"/>
                    <w:spacing w:line="0" w:lineRule="atLeas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90</w:t>
                  </w:r>
                </w:p>
              </w:tc>
              <w:tc>
                <w:tcPr>
                  <w:tcW w:w="2054" w:type="dxa"/>
                  <w:vAlign w:val="center"/>
                </w:tcPr>
                <w:p>
                  <w:pPr>
                    <w:spacing w:line="0" w:lineRule="atLeast"/>
                    <w:jc w:val="center"/>
                    <w:rPr>
                      <w:color w:val="auto"/>
                      <w:szCs w:val="21"/>
                      <w:highlight w:val="none"/>
                    </w:rPr>
                  </w:pPr>
                  <w:r>
                    <w:rPr>
                      <w:color w:val="auto"/>
                      <w:szCs w:val="21"/>
                      <w:highlight w:val="none"/>
                    </w:rPr>
                    <w:t>基础减振，厂房隔声</w:t>
                  </w:r>
                </w:p>
              </w:tc>
              <w:tc>
                <w:tcPr>
                  <w:tcW w:w="953"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color w:val="auto"/>
                      <w:szCs w:val="21"/>
                      <w:highlight w:val="none"/>
                      <w:lang w:eastAsia="zh-CN"/>
                    </w:rPr>
                  </w:pPr>
                  <w:r>
                    <w:rPr>
                      <w:rFonts w:hint="eastAsia"/>
                      <w:color w:val="auto"/>
                      <w:szCs w:val="21"/>
                      <w:highlight w:val="none"/>
                      <w:lang w:eastAsia="zh-CN"/>
                    </w:rPr>
                    <w:t>类比法</w:t>
                  </w:r>
                </w:p>
              </w:tc>
              <w:tc>
                <w:tcPr>
                  <w:tcW w:w="800" w:type="dxa"/>
                  <w:vAlign w:val="center"/>
                </w:tcPr>
                <w:p>
                  <w:pPr>
                    <w:spacing w:line="0" w:lineRule="atLeast"/>
                    <w:jc w:val="center"/>
                    <w:rPr>
                      <w:rFonts w:hint="default"/>
                      <w:color w:val="auto"/>
                      <w:szCs w:val="21"/>
                      <w:highlight w:val="none"/>
                      <w:lang w:val="en-US" w:eastAsia="zh-CN"/>
                    </w:rPr>
                  </w:pPr>
                  <w:r>
                    <w:rPr>
                      <w:rFonts w:hint="eastAsia"/>
                      <w:color w:val="auto"/>
                      <w:szCs w:val="21"/>
                      <w:highlight w:val="none"/>
                      <w:lang w:val="en-US" w:eastAsia="zh-CN"/>
                    </w:rPr>
                    <w:t>70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磨床</w:t>
                  </w:r>
                </w:p>
              </w:tc>
              <w:tc>
                <w:tcPr>
                  <w:tcW w:w="811"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偶发</w:t>
                  </w:r>
                </w:p>
              </w:tc>
              <w:tc>
                <w:tcPr>
                  <w:tcW w:w="951"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snapToGrid w:val="0"/>
                      <w:color w:val="auto"/>
                      <w:szCs w:val="21"/>
                      <w:highlight w:val="none"/>
                    </w:rPr>
                    <w:t>类比法</w:t>
                  </w:r>
                </w:p>
              </w:tc>
              <w:tc>
                <w:tcPr>
                  <w:tcW w:w="931" w:type="dxa"/>
                  <w:vAlign w:val="center"/>
                </w:tcPr>
                <w:p>
                  <w:pPr>
                    <w:pStyle w:val="51"/>
                    <w:spacing w:line="0" w:lineRule="atLeast"/>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85</w:t>
                  </w:r>
                </w:p>
              </w:tc>
              <w:tc>
                <w:tcPr>
                  <w:tcW w:w="2054"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基础减振，厂房隔声</w:t>
                  </w:r>
                </w:p>
              </w:tc>
              <w:tc>
                <w:tcPr>
                  <w:tcW w:w="953"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类比法</w:t>
                  </w:r>
                </w:p>
              </w:tc>
              <w:tc>
                <w:tcPr>
                  <w:tcW w:w="800" w:type="dxa"/>
                  <w:vAlign w:val="center"/>
                </w:tcPr>
                <w:p>
                  <w:pPr>
                    <w:spacing w:line="0" w:lineRule="atLeast"/>
                    <w:jc w:val="center"/>
                    <w:rPr>
                      <w:rFonts w:hint="eastAsia"/>
                      <w:color w:val="auto"/>
                      <w:szCs w:val="21"/>
                      <w:highlight w:val="none"/>
                      <w:lang w:val="en-US" w:eastAsia="zh-CN"/>
                    </w:rPr>
                  </w:pPr>
                  <w:r>
                    <w:rPr>
                      <w:rFonts w:hint="eastAsia"/>
                      <w:color w:val="auto"/>
                      <w:szCs w:val="21"/>
                      <w:highlight w:val="none"/>
                      <w:lang w:val="en-US" w:eastAsia="zh-CN"/>
                    </w:rPr>
                    <w:t>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镗床</w:t>
                  </w:r>
                </w:p>
              </w:tc>
              <w:tc>
                <w:tcPr>
                  <w:tcW w:w="811"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偶发</w:t>
                  </w:r>
                </w:p>
              </w:tc>
              <w:tc>
                <w:tcPr>
                  <w:tcW w:w="951"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snapToGrid w:val="0"/>
                      <w:color w:val="auto"/>
                      <w:szCs w:val="21"/>
                      <w:highlight w:val="none"/>
                    </w:rPr>
                    <w:t>类比法</w:t>
                  </w:r>
                </w:p>
              </w:tc>
              <w:tc>
                <w:tcPr>
                  <w:tcW w:w="931" w:type="dxa"/>
                  <w:vAlign w:val="center"/>
                </w:tcPr>
                <w:p>
                  <w:pPr>
                    <w:pStyle w:val="51"/>
                    <w:spacing w:line="0" w:lineRule="atLeas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85</w:t>
                  </w:r>
                </w:p>
              </w:tc>
              <w:tc>
                <w:tcPr>
                  <w:tcW w:w="2054"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基础减振，厂房隔声</w:t>
                  </w:r>
                </w:p>
              </w:tc>
              <w:tc>
                <w:tcPr>
                  <w:tcW w:w="953"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类比法</w:t>
                  </w:r>
                </w:p>
              </w:tc>
              <w:tc>
                <w:tcPr>
                  <w:tcW w:w="800" w:type="dxa"/>
                  <w:vAlign w:val="center"/>
                </w:tcPr>
                <w:p>
                  <w:pPr>
                    <w:spacing w:line="0" w:lineRule="atLeast"/>
                    <w:jc w:val="center"/>
                    <w:rPr>
                      <w:rFonts w:hint="eastAsia"/>
                      <w:color w:val="auto"/>
                      <w:szCs w:val="21"/>
                      <w:highlight w:val="none"/>
                      <w:lang w:val="en-US" w:eastAsia="zh-CN"/>
                    </w:rPr>
                  </w:pPr>
                  <w:r>
                    <w:rPr>
                      <w:rFonts w:hint="eastAsia"/>
                      <w:color w:val="auto"/>
                      <w:szCs w:val="21"/>
                      <w:highlight w:val="none"/>
                      <w:lang w:val="en-US" w:eastAsia="zh-CN"/>
                    </w:rPr>
                    <w:t>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color w:val="auto"/>
                      <w:szCs w:val="21"/>
                      <w:highlight w:val="none"/>
                      <w:lang w:eastAsia="zh-CN"/>
                    </w:rPr>
                  </w:pPr>
                  <w:r>
                    <w:rPr>
                      <w:rFonts w:hint="eastAsia"/>
                      <w:color w:val="auto"/>
                      <w:szCs w:val="21"/>
                      <w:highlight w:val="none"/>
                      <w:lang w:eastAsia="zh-CN"/>
                    </w:rPr>
                    <w:t>铣床</w:t>
                  </w:r>
                </w:p>
              </w:tc>
              <w:tc>
                <w:tcPr>
                  <w:tcW w:w="811"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偶发</w:t>
                  </w:r>
                </w:p>
              </w:tc>
              <w:tc>
                <w:tcPr>
                  <w:tcW w:w="951"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snapToGrid w:val="0"/>
                      <w:color w:val="auto"/>
                      <w:szCs w:val="21"/>
                      <w:highlight w:val="none"/>
                    </w:rPr>
                    <w:t>类比法</w:t>
                  </w:r>
                </w:p>
              </w:tc>
              <w:tc>
                <w:tcPr>
                  <w:tcW w:w="931" w:type="dxa"/>
                  <w:vAlign w:val="center"/>
                </w:tcPr>
                <w:p>
                  <w:pPr>
                    <w:pStyle w:val="51"/>
                    <w:spacing w:line="0" w:lineRule="atLeast"/>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85</w:t>
                  </w:r>
                </w:p>
              </w:tc>
              <w:tc>
                <w:tcPr>
                  <w:tcW w:w="2054"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基础减振，厂房隔声</w:t>
                  </w:r>
                </w:p>
              </w:tc>
              <w:tc>
                <w:tcPr>
                  <w:tcW w:w="953"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类比法</w:t>
                  </w:r>
                </w:p>
              </w:tc>
              <w:tc>
                <w:tcPr>
                  <w:tcW w:w="800"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自制抛光机</w:t>
                  </w:r>
                </w:p>
              </w:tc>
              <w:tc>
                <w:tcPr>
                  <w:tcW w:w="811"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偶发</w:t>
                  </w:r>
                </w:p>
              </w:tc>
              <w:tc>
                <w:tcPr>
                  <w:tcW w:w="951"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snapToGrid w:val="0"/>
                      <w:color w:val="auto"/>
                      <w:szCs w:val="21"/>
                      <w:highlight w:val="none"/>
                    </w:rPr>
                    <w:t>类比法</w:t>
                  </w:r>
                </w:p>
              </w:tc>
              <w:tc>
                <w:tcPr>
                  <w:tcW w:w="931" w:type="dxa"/>
                  <w:vAlign w:val="center"/>
                </w:tcPr>
                <w:p>
                  <w:pPr>
                    <w:pStyle w:val="51"/>
                    <w:spacing w:line="0" w:lineRule="atLeas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85</w:t>
                  </w:r>
                </w:p>
              </w:tc>
              <w:tc>
                <w:tcPr>
                  <w:tcW w:w="2054"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基础减振，厂房隔声</w:t>
                  </w:r>
                </w:p>
              </w:tc>
              <w:tc>
                <w:tcPr>
                  <w:tcW w:w="953"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类比法</w:t>
                  </w:r>
                </w:p>
              </w:tc>
              <w:tc>
                <w:tcPr>
                  <w:tcW w:w="800" w:type="dxa"/>
                  <w:vAlign w:val="center"/>
                </w:tcPr>
                <w:p>
                  <w:pPr>
                    <w:spacing w:line="0" w:lineRule="atLeast"/>
                    <w:jc w:val="center"/>
                    <w:rPr>
                      <w:rFonts w:hint="eastAsia"/>
                      <w:color w:val="auto"/>
                      <w:szCs w:val="21"/>
                      <w:highlight w:val="none"/>
                      <w:lang w:val="en-US" w:eastAsia="zh-CN"/>
                    </w:rPr>
                  </w:pPr>
                  <w:r>
                    <w:rPr>
                      <w:rFonts w:hint="eastAsia"/>
                      <w:color w:val="auto"/>
                      <w:szCs w:val="21"/>
                      <w:highlight w:val="none"/>
                      <w:lang w:val="en-US" w:eastAsia="zh-CN"/>
                    </w:rPr>
                    <w:t>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电阻炉</w:t>
                  </w:r>
                </w:p>
              </w:tc>
              <w:tc>
                <w:tcPr>
                  <w:tcW w:w="811"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频发</w:t>
                  </w:r>
                </w:p>
              </w:tc>
              <w:tc>
                <w:tcPr>
                  <w:tcW w:w="951"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snapToGrid w:val="0"/>
                      <w:color w:val="auto"/>
                      <w:szCs w:val="21"/>
                      <w:highlight w:val="none"/>
                    </w:rPr>
                    <w:t>类比法</w:t>
                  </w:r>
                </w:p>
              </w:tc>
              <w:tc>
                <w:tcPr>
                  <w:tcW w:w="931" w:type="dxa"/>
                  <w:vAlign w:val="center"/>
                </w:tcPr>
                <w:p>
                  <w:pPr>
                    <w:pStyle w:val="51"/>
                    <w:spacing w:line="0" w:lineRule="atLeas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85</w:t>
                  </w:r>
                </w:p>
              </w:tc>
              <w:tc>
                <w:tcPr>
                  <w:tcW w:w="2054"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基础减振，厂房隔声</w:t>
                  </w:r>
                </w:p>
              </w:tc>
              <w:tc>
                <w:tcPr>
                  <w:tcW w:w="953"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类比法</w:t>
                  </w:r>
                </w:p>
              </w:tc>
              <w:tc>
                <w:tcPr>
                  <w:tcW w:w="800" w:type="dxa"/>
                  <w:vAlign w:val="center"/>
                </w:tcPr>
                <w:p>
                  <w:pPr>
                    <w:spacing w:line="0" w:lineRule="atLeast"/>
                    <w:jc w:val="center"/>
                    <w:rPr>
                      <w:rFonts w:hint="eastAsia"/>
                      <w:color w:val="auto"/>
                      <w:szCs w:val="21"/>
                      <w:highlight w:val="none"/>
                      <w:lang w:val="en-US" w:eastAsia="zh-CN"/>
                    </w:rPr>
                  </w:pPr>
                  <w:r>
                    <w:rPr>
                      <w:rFonts w:hint="eastAsia"/>
                      <w:color w:val="auto"/>
                      <w:szCs w:val="21"/>
                      <w:highlight w:val="none"/>
                      <w:lang w:val="en-US" w:eastAsia="zh-CN"/>
                    </w:rPr>
                    <w:t>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风机</w:t>
                  </w:r>
                </w:p>
              </w:tc>
              <w:tc>
                <w:tcPr>
                  <w:tcW w:w="811"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频发</w:t>
                  </w:r>
                </w:p>
              </w:tc>
              <w:tc>
                <w:tcPr>
                  <w:tcW w:w="951"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snapToGrid w:val="0"/>
                      <w:color w:val="auto"/>
                      <w:szCs w:val="21"/>
                      <w:highlight w:val="none"/>
                    </w:rPr>
                    <w:t>类比法</w:t>
                  </w:r>
                </w:p>
              </w:tc>
              <w:tc>
                <w:tcPr>
                  <w:tcW w:w="931" w:type="dxa"/>
                  <w:vAlign w:val="center"/>
                </w:tcPr>
                <w:p>
                  <w:pPr>
                    <w:pStyle w:val="51"/>
                    <w:spacing w:line="0" w:lineRule="atLeas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90</w:t>
                  </w:r>
                </w:p>
              </w:tc>
              <w:tc>
                <w:tcPr>
                  <w:tcW w:w="2054"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基础减振，厂房隔声</w:t>
                  </w:r>
                </w:p>
              </w:tc>
              <w:tc>
                <w:tcPr>
                  <w:tcW w:w="953"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类比法</w:t>
                  </w:r>
                </w:p>
              </w:tc>
              <w:tc>
                <w:tcPr>
                  <w:tcW w:w="800" w:type="dxa"/>
                  <w:vAlign w:val="center"/>
                </w:tcPr>
                <w:p>
                  <w:pPr>
                    <w:spacing w:line="0" w:lineRule="atLeast"/>
                    <w:jc w:val="center"/>
                    <w:rPr>
                      <w:rFonts w:hint="eastAsia"/>
                      <w:color w:val="auto"/>
                      <w:szCs w:val="21"/>
                      <w:highlight w:val="none"/>
                      <w:lang w:val="en-US" w:eastAsia="zh-CN"/>
                    </w:rPr>
                  </w:pPr>
                  <w:r>
                    <w:rPr>
                      <w:rFonts w:hint="eastAsia"/>
                      <w:color w:val="auto"/>
                      <w:szCs w:val="21"/>
                      <w:highlight w:val="none"/>
                      <w:lang w:val="en-US" w:eastAsia="zh-CN"/>
                    </w:rPr>
                    <w:t>70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3" w:type="dxa"/>
                  <w:vAlign w:val="center"/>
                </w:tcPr>
                <w:p>
                  <w:pPr>
                    <w:tabs>
                      <w:tab w:val="left" w:pos="2604"/>
                    </w:tabs>
                    <w:jc w:val="center"/>
                    <w:rPr>
                      <w:rFonts w:hint="eastAsia"/>
                      <w:color w:val="auto"/>
                      <w:szCs w:val="21"/>
                      <w:highlight w:val="none"/>
                      <w:lang w:eastAsia="zh-CN"/>
                    </w:rPr>
                  </w:pPr>
                  <w:r>
                    <w:rPr>
                      <w:rFonts w:hint="eastAsia"/>
                      <w:color w:val="auto"/>
                      <w:szCs w:val="21"/>
                      <w:highlight w:val="none"/>
                      <w:lang w:eastAsia="zh-CN"/>
                    </w:rPr>
                    <w:t>空压机</w:t>
                  </w:r>
                </w:p>
              </w:tc>
              <w:tc>
                <w:tcPr>
                  <w:tcW w:w="811"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偶发</w:t>
                  </w:r>
                </w:p>
              </w:tc>
              <w:tc>
                <w:tcPr>
                  <w:tcW w:w="951"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snapToGrid w:val="0"/>
                      <w:color w:val="auto"/>
                      <w:szCs w:val="21"/>
                      <w:highlight w:val="none"/>
                    </w:rPr>
                    <w:t>类比法</w:t>
                  </w:r>
                </w:p>
              </w:tc>
              <w:tc>
                <w:tcPr>
                  <w:tcW w:w="931" w:type="dxa"/>
                  <w:vAlign w:val="center"/>
                </w:tcPr>
                <w:p>
                  <w:pPr>
                    <w:pStyle w:val="51"/>
                    <w:spacing w:line="0" w:lineRule="atLeas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90</w:t>
                  </w:r>
                </w:p>
              </w:tc>
              <w:tc>
                <w:tcPr>
                  <w:tcW w:w="2054" w:type="dxa"/>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基础减振，厂房隔声</w:t>
                  </w:r>
                </w:p>
              </w:tc>
              <w:tc>
                <w:tcPr>
                  <w:tcW w:w="953"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2</w:t>
                  </w:r>
                  <w:r>
                    <w:rPr>
                      <w:rFonts w:hint="eastAsia"/>
                      <w:color w:val="auto"/>
                      <w:szCs w:val="21"/>
                      <w:highlight w:val="none"/>
                      <w:lang w:val="en-US" w:eastAsia="zh-CN"/>
                    </w:rPr>
                    <w:t>0</w:t>
                  </w:r>
                </w:p>
              </w:tc>
              <w:tc>
                <w:tcPr>
                  <w:tcW w:w="882"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类比法</w:t>
                  </w:r>
                </w:p>
              </w:tc>
              <w:tc>
                <w:tcPr>
                  <w:tcW w:w="800" w:type="dxa"/>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70</w:t>
                  </w:r>
                </w:p>
              </w:tc>
            </w:tr>
          </w:tbl>
          <w:p>
            <w:pPr>
              <w:spacing w:line="360" w:lineRule="auto"/>
              <w:ind w:firstLine="480" w:firstLineChars="200"/>
              <w:jc w:val="left"/>
              <w:rPr>
                <w:color w:val="auto"/>
                <w:sz w:val="24"/>
                <w:highlight w:val="none"/>
              </w:rPr>
            </w:pPr>
            <w:r>
              <w:rPr>
                <w:color w:val="auto"/>
                <w:sz w:val="24"/>
                <w:highlight w:val="none"/>
              </w:rPr>
              <w:t>2、厂界噪声影响预测及达标分析</w:t>
            </w:r>
          </w:p>
          <w:p>
            <w:pPr>
              <w:pStyle w:val="17"/>
              <w:spacing w:line="360" w:lineRule="auto"/>
              <w:jc w:val="left"/>
              <w:rPr>
                <w:color w:val="auto"/>
                <w:highlight w:val="none"/>
              </w:rPr>
            </w:pPr>
            <w:r>
              <w:rPr>
                <w:color w:val="auto"/>
                <w:highlight w:val="none"/>
              </w:rPr>
              <w:t>1）预测模式</w:t>
            </w:r>
          </w:p>
          <w:p>
            <w:pPr>
              <w:pStyle w:val="17"/>
              <w:spacing w:line="360" w:lineRule="auto"/>
              <w:jc w:val="left"/>
              <w:rPr>
                <w:color w:val="auto"/>
                <w:highlight w:val="none"/>
              </w:rPr>
            </w:pPr>
            <w:r>
              <w:rPr>
                <w:color w:val="auto"/>
                <w:highlight w:val="none"/>
              </w:rPr>
              <w:t>采用《环境影响评价技术导则声环境》（HJ2.4-2009）推荐的方法和模式进行预测。</w:t>
            </w:r>
          </w:p>
          <w:p>
            <w:pPr>
              <w:spacing w:line="360" w:lineRule="auto"/>
              <w:ind w:firstLine="480" w:firstLineChars="200"/>
              <w:jc w:val="left"/>
              <w:rPr>
                <w:color w:val="auto"/>
                <w:sz w:val="24"/>
                <w:highlight w:val="none"/>
              </w:rPr>
            </w:pPr>
            <w:r>
              <w:rPr>
                <w:color w:val="auto"/>
                <w:sz w:val="24"/>
                <w:highlight w:val="none"/>
              </w:rPr>
              <w:t>A、噪声传播衰减模式：</w:t>
            </w:r>
          </w:p>
          <w:p>
            <w:pPr>
              <w:adjustRightInd w:val="0"/>
              <w:snapToGrid w:val="0"/>
              <w:spacing w:line="360" w:lineRule="auto"/>
              <w:ind w:firstLine="480" w:firstLineChars="200"/>
              <w:jc w:val="left"/>
              <w:rPr>
                <w:color w:val="auto"/>
                <w:sz w:val="24"/>
                <w:highlight w:val="none"/>
              </w:rPr>
            </w:pPr>
            <w:r>
              <w:rPr>
                <w:color w:val="auto"/>
                <w:sz w:val="24"/>
                <w:highlight w:val="none"/>
              </w:rPr>
              <w:t>L</w:t>
            </w:r>
            <w:r>
              <w:rPr>
                <w:color w:val="auto"/>
                <w:sz w:val="24"/>
                <w:highlight w:val="none"/>
                <w:vertAlign w:val="subscript"/>
              </w:rPr>
              <w:t>A</w:t>
            </w:r>
            <w:r>
              <w:rPr>
                <w:color w:val="auto"/>
                <w:sz w:val="24"/>
                <w:highlight w:val="none"/>
              </w:rPr>
              <w:t>(r)=L</w:t>
            </w:r>
            <w:r>
              <w:rPr>
                <w:color w:val="auto"/>
                <w:sz w:val="24"/>
                <w:highlight w:val="none"/>
                <w:vertAlign w:val="subscript"/>
              </w:rPr>
              <w:t>A</w:t>
            </w:r>
            <w:r>
              <w:rPr>
                <w:color w:val="auto"/>
                <w:sz w:val="24"/>
                <w:highlight w:val="none"/>
              </w:rPr>
              <w:t>(r</w:t>
            </w:r>
            <w:r>
              <w:rPr>
                <w:color w:val="auto"/>
                <w:sz w:val="24"/>
                <w:highlight w:val="none"/>
                <w:vertAlign w:val="subscript"/>
              </w:rPr>
              <w:t>0</w:t>
            </w:r>
            <w:r>
              <w:rPr>
                <w:color w:val="auto"/>
                <w:sz w:val="24"/>
                <w:highlight w:val="none"/>
              </w:rPr>
              <w:t>)-20Lg(r/r</w:t>
            </w:r>
            <w:r>
              <w:rPr>
                <w:color w:val="auto"/>
                <w:sz w:val="24"/>
                <w:highlight w:val="none"/>
                <w:vertAlign w:val="subscript"/>
              </w:rPr>
              <w:t>0</w:t>
            </w:r>
            <w:r>
              <w:rPr>
                <w:color w:val="auto"/>
                <w:sz w:val="24"/>
                <w:highlight w:val="none"/>
              </w:rPr>
              <w:t>)</w:t>
            </w:r>
          </w:p>
          <w:p>
            <w:pPr>
              <w:adjustRightInd w:val="0"/>
              <w:snapToGrid w:val="0"/>
              <w:spacing w:line="360" w:lineRule="auto"/>
              <w:ind w:firstLine="480" w:firstLineChars="200"/>
              <w:jc w:val="left"/>
              <w:rPr>
                <w:color w:val="auto"/>
                <w:sz w:val="24"/>
                <w:highlight w:val="none"/>
              </w:rPr>
            </w:pPr>
            <w:r>
              <w:rPr>
                <w:color w:val="auto"/>
                <w:sz w:val="24"/>
                <w:highlight w:val="none"/>
              </w:rPr>
              <w:t>式中：L</w:t>
            </w:r>
            <w:r>
              <w:rPr>
                <w:color w:val="auto"/>
                <w:sz w:val="24"/>
                <w:highlight w:val="none"/>
                <w:vertAlign w:val="subscript"/>
              </w:rPr>
              <w:t>A</w:t>
            </w:r>
            <w:r>
              <w:rPr>
                <w:color w:val="auto"/>
                <w:sz w:val="24"/>
                <w:highlight w:val="none"/>
              </w:rPr>
              <w:t>(r)――距声源r米处的A声级；</w:t>
            </w:r>
          </w:p>
          <w:p>
            <w:pPr>
              <w:adjustRightInd w:val="0"/>
              <w:snapToGrid w:val="0"/>
              <w:spacing w:line="360" w:lineRule="auto"/>
              <w:ind w:firstLine="1200" w:firstLineChars="500"/>
              <w:jc w:val="left"/>
              <w:rPr>
                <w:color w:val="auto"/>
                <w:sz w:val="24"/>
                <w:highlight w:val="none"/>
              </w:rPr>
            </w:pPr>
            <w:r>
              <w:rPr>
                <w:color w:val="auto"/>
                <w:sz w:val="24"/>
                <w:highlight w:val="none"/>
              </w:rPr>
              <w:t>L</w:t>
            </w:r>
            <w:r>
              <w:rPr>
                <w:color w:val="auto"/>
                <w:sz w:val="24"/>
                <w:highlight w:val="none"/>
                <w:vertAlign w:val="subscript"/>
              </w:rPr>
              <w:t>A</w:t>
            </w:r>
            <w:r>
              <w:rPr>
                <w:color w:val="auto"/>
                <w:sz w:val="24"/>
                <w:highlight w:val="none"/>
              </w:rPr>
              <w:t>(r</w:t>
            </w:r>
            <w:r>
              <w:rPr>
                <w:color w:val="auto"/>
                <w:sz w:val="24"/>
                <w:highlight w:val="none"/>
                <w:vertAlign w:val="subscript"/>
              </w:rPr>
              <w:t>0</w:t>
            </w:r>
            <w:r>
              <w:rPr>
                <w:color w:val="auto"/>
                <w:sz w:val="24"/>
                <w:highlight w:val="none"/>
              </w:rPr>
              <w:t>)――参考位置r</w:t>
            </w:r>
            <w:r>
              <w:rPr>
                <w:color w:val="auto"/>
                <w:sz w:val="24"/>
                <w:highlight w:val="none"/>
                <w:vertAlign w:val="subscript"/>
              </w:rPr>
              <w:t xml:space="preserve">0 </w:t>
            </w:r>
            <w:r>
              <w:rPr>
                <w:color w:val="auto"/>
                <w:sz w:val="24"/>
                <w:highlight w:val="none"/>
              </w:rPr>
              <w:t>米处的A声级；</w:t>
            </w:r>
          </w:p>
          <w:p>
            <w:pPr>
              <w:adjustRightInd w:val="0"/>
              <w:snapToGrid w:val="0"/>
              <w:spacing w:line="360" w:lineRule="auto"/>
              <w:ind w:firstLine="1200" w:firstLineChars="500"/>
              <w:jc w:val="left"/>
              <w:rPr>
                <w:color w:val="auto"/>
                <w:sz w:val="24"/>
                <w:highlight w:val="none"/>
              </w:rPr>
            </w:pPr>
            <w:r>
              <w:rPr>
                <w:color w:val="auto"/>
                <w:sz w:val="24"/>
                <w:highlight w:val="none"/>
              </w:rPr>
              <w:t>r －－预测点距噪声源中心距离，m；</w:t>
            </w:r>
          </w:p>
          <w:p>
            <w:pPr>
              <w:adjustRightInd w:val="0"/>
              <w:snapToGrid w:val="0"/>
              <w:spacing w:line="360" w:lineRule="auto"/>
              <w:ind w:firstLine="1200" w:firstLineChars="500"/>
              <w:jc w:val="left"/>
              <w:rPr>
                <w:color w:val="auto"/>
                <w:sz w:val="24"/>
                <w:highlight w:val="none"/>
              </w:rPr>
            </w:pPr>
            <w:r>
              <w:rPr>
                <w:color w:val="auto"/>
                <w:sz w:val="24"/>
                <w:highlight w:val="none"/>
              </w:rPr>
              <w:t>r</w:t>
            </w:r>
            <w:r>
              <w:rPr>
                <w:color w:val="auto"/>
                <w:sz w:val="24"/>
                <w:highlight w:val="none"/>
                <w:vertAlign w:val="subscript"/>
              </w:rPr>
              <w:t>0</w:t>
            </w:r>
            <w:r>
              <w:rPr>
                <w:color w:val="auto"/>
                <w:sz w:val="24"/>
                <w:highlight w:val="none"/>
              </w:rPr>
              <w:t xml:space="preserve"> ――参考位置距声源中心距离，m。</w:t>
            </w:r>
          </w:p>
          <w:p>
            <w:pPr>
              <w:adjustRightInd w:val="0"/>
              <w:snapToGrid w:val="0"/>
              <w:spacing w:line="360" w:lineRule="auto"/>
              <w:ind w:firstLine="480" w:firstLineChars="200"/>
              <w:jc w:val="left"/>
              <w:rPr>
                <w:color w:val="auto"/>
                <w:sz w:val="24"/>
                <w:highlight w:val="none"/>
              </w:rPr>
            </w:pPr>
            <w:r>
              <w:rPr>
                <w:color w:val="auto"/>
                <w:sz w:val="24"/>
                <w:highlight w:val="none"/>
              </w:rPr>
              <w:t>B声压级合成模式：</w:t>
            </w:r>
          </w:p>
          <w:p>
            <w:pPr>
              <w:adjustRightInd w:val="0"/>
              <w:snapToGrid w:val="0"/>
              <w:spacing w:line="360" w:lineRule="auto"/>
              <w:ind w:firstLine="480" w:firstLineChars="200"/>
              <w:jc w:val="left"/>
              <w:rPr>
                <w:color w:val="auto"/>
                <w:sz w:val="24"/>
                <w:highlight w:val="none"/>
              </w:rPr>
            </w:pPr>
            <w:r>
              <w:rPr>
                <w:color w:val="auto"/>
                <w:position w:val="-30"/>
                <w:sz w:val="24"/>
                <w:highlight w:val="none"/>
              </w:rPr>
              <w:drawing>
                <wp:inline distT="0" distB="0" distL="114300" distR="114300">
                  <wp:extent cx="1381760" cy="466725"/>
                  <wp:effectExtent l="0" t="0" r="5080" b="508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4" cstate="print"/>
                          <a:stretch>
                            <a:fillRect/>
                          </a:stretch>
                        </pic:blipFill>
                        <pic:spPr>
                          <a:xfrm>
                            <a:off x="0" y="0"/>
                            <a:ext cx="1381760" cy="466725"/>
                          </a:xfrm>
                          <a:prstGeom prst="rect">
                            <a:avLst/>
                          </a:prstGeom>
                          <a:noFill/>
                          <a:ln>
                            <a:noFill/>
                          </a:ln>
                        </pic:spPr>
                      </pic:pic>
                    </a:graphicData>
                  </a:graphic>
                </wp:inline>
              </w:drawing>
            </w:r>
          </w:p>
          <w:p>
            <w:pPr>
              <w:adjustRightInd w:val="0"/>
              <w:snapToGrid w:val="0"/>
              <w:spacing w:line="360" w:lineRule="auto"/>
              <w:ind w:firstLine="480" w:firstLineChars="200"/>
              <w:jc w:val="left"/>
              <w:rPr>
                <w:color w:val="auto"/>
                <w:sz w:val="24"/>
                <w:highlight w:val="none"/>
              </w:rPr>
            </w:pPr>
            <w:r>
              <w:rPr>
                <w:color w:val="auto"/>
                <w:sz w:val="24"/>
                <w:highlight w:val="none"/>
              </w:rPr>
              <w:t>式中：L</w:t>
            </w:r>
            <w:r>
              <w:rPr>
                <w:color w:val="auto"/>
                <w:sz w:val="24"/>
                <w:highlight w:val="none"/>
                <w:vertAlign w:val="subscript"/>
              </w:rPr>
              <w:t>n</w:t>
            </w:r>
            <w:r>
              <w:rPr>
                <w:color w:val="auto"/>
                <w:sz w:val="24"/>
                <w:highlight w:val="none"/>
              </w:rPr>
              <w:t>――n个声压级的合成声压级，dB(A)；</w:t>
            </w:r>
          </w:p>
          <w:p>
            <w:pPr>
              <w:spacing w:line="360" w:lineRule="auto"/>
              <w:ind w:firstLine="480" w:firstLineChars="200"/>
              <w:jc w:val="left"/>
              <w:rPr>
                <w:color w:val="auto"/>
                <w:sz w:val="24"/>
                <w:highlight w:val="none"/>
              </w:rPr>
            </w:pPr>
            <w:r>
              <w:rPr>
                <w:color w:val="auto"/>
                <w:sz w:val="24"/>
                <w:highlight w:val="none"/>
              </w:rPr>
              <w:t>L</w:t>
            </w:r>
            <w:r>
              <w:rPr>
                <w:color w:val="auto"/>
                <w:sz w:val="24"/>
                <w:highlight w:val="none"/>
                <w:vertAlign w:val="subscript"/>
              </w:rPr>
              <w:t>i</w:t>
            </w:r>
            <w:r>
              <w:rPr>
                <w:color w:val="auto"/>
                <w:sz w:val="24"/>
                <w:highlight w:val="none"/>
              </w:rPr>
              <w:t>――各声源的A声级，dB(A)。</w:t>
            </w:r>
          </w:p>
          <w:p>
            <w:pPr>
              <w:spacing w:line="360" w:lineRule="auto"/>
              <w:ind w:firstLine="480" w:firstLineChars="200"/>
              <w:jc w:val="left"/>
              <w:rPr>
                <w:color w:val="auto"/>
                <w:sz w:val="24"/>
                <w:highlight w:val="none"/>
              </w:rPr>
            </w:pPr>
            <w:r>
              <w:rPr>
                <w:color w:val="auto"/>
                <w:sz w:val="24"/>
                <w:highlight w:val="none"/>
              </w:rPr>
              <w:t>2）预测结果分析</w:t>
            </w:r>
          </w:p>
          <w:p>
            <w:pPr>
              <w:autoSpaceDE w:val="0"/>
              <w:autoSpaceDN w:val="0"/>
              <w:spacing w:line="360" w:lineRule="auto"/>
              <w:ind w:firstLine="480" w:firstLineChars="200"/>
              <w:jc w:val="left"/>
              <w:rPr>
                <w:b/>
                <w:color w:val="auto"/>
                <w:sz w:val="24"/>
                <w:highlight w:val="none"/>
              </w:rPr>
            </w:pPr>
            <w:r>
              <w:rPr>
                <w:rFonts w:hint="eastAsia"/>
                <w:snapToGrid w:val="0"/>
                <w:color w:val="auto"/>
                <w:kern w:val="0"/>
                <w:sz w:val="24"/>
                <w:highlight w:val="none"/>
                <w:lang w:eastAsia="zh-CN"/>
              </w:rPr>
              <w:t>噪声源</w:t>
            </w:r>
            <w:r>
              <w:rPr>
                <w:snapToGrid w:val="0"/>
                <w:color w:val="auto"/>
                <w:kern w:val="0"/>
                <w:sz w:val="24"/>
                <w:highlight w:val="none"/>
              </w:rPr>
              <w:t>距厂界距离及噪声预测结果见表</w:t>
            </w:r>
            <w:r>
              <w:rPr>
                <w:rFonts w:hint="eastAsia"/>
                <w:snapToGrid w:val="0"/>
                <w:color w:val="auto"/>
                <w:kern w:val="0"/>
                <w:sz w:val="24"/>
                <w:highlight w:val="none"/>
                <w:lang w:val="en-US" w:eastAsia="zh-CN"/>
              </w:rPr>
              <w:t>31</w:t>
            </w:r>
            <w:r>
              <w:rPr>
                <w:snapToGrid w:val="0"/>
                <w:color w:val="auto"/>
                <w:kern w:val="0"/>
                <w:sz w:val="24"/>
                <w:highlight w:val="none"/>
              </w:rPr>
              <w:t>。</w:t>
            </w:r>
          </w:p>
          <w:p>
            <w:pPr>
              <w:autoSpaceDE w:val="0"/>
              <w:autoSpaceDN w:val="0"/>
              <w:jc w:val="center"/>
              <w:rPr>
                <w:rFonts w:hint="default" w:eastAsia="宋体"/>
                <w:b/>
                <w:bCs/>
                <w:snapToGrid w:val="0"/>
                <w:color w:val="auto"/>
                <w:kern w:val="0"/>
                <w:sz w:val="24"/>
                <w:highlight w:val="none"/>
                <w:lang w:val="en-US" w:eastAsia="zh-CN"/>
              </w:rPr>
            </w:pPr>
            <w:r>
              <w:rPr>
                <w:b/>
                <w:color w:val="auto"/>
                <w:sz w:val="24"/>
                <w:highlight w:val="none"/>
              </w:rPr>
              <w:t>表</w:t>
            </w:r>
            <w:r>
              <w:rPr>
                <w:rFonts w:hint="eastAsia"/>
                <w:b/>
                <w:color w:val="auto"/>
                <w:sz w:val="24"/>
                <w:highlight w:val="none"/>
                <w:lang w:val="en-US" w:eastAsia="zh-CN"/>
              </w:rPr>
              <w:t>31</w:t>
            </w:r>
            <w:r>
              <w:rPr>
                <w:rFonts w:hint="eastAsia"/>
                <w:b/>
                <w:color w:val="auto"/>
                <w:sz w:val="24"/>
                <w:highlight w:val="none"/>
              </w:rPr>
              <w:t xml:space="preserve">    </w:t>
            </w:r>
            <w:r>
              <w:rPr>
                <w:rFonts w:hint="eastAsia"/>
                <w:b/>
                <w:color w:val="auto"/>
                <w:sz w:val="24"/>
                <w:highlight w:val="none"/>
                <w:lang w:eastAsia="zh-CN"/>
              </w:rPr>
              <w:t>噪声源</w:t>
            </w:r>
            <w:r>
              <w:rPr>
                <w:b/>
                <w:color w:val="auto"/>
                <w:sz w:val="24"/>
                <w:highlight w:val="none"/>
              </w:rPr>
              <w:t>距厂界距离及昼间噪声预测结果一览表</w:t>
            </w:r>
            <w:r>
              <w:rPr>
                <w:rFonts w:hint="eastAsia"/>
                <w:color w:val="auto"/>
                <w:highlight w:val="none"/>
                <w:lang w:val="en-US" w:eastAsia="zh-CN"/>
              </w:rPr>
              <w:t xml:space="preserve">  dB(A)</w:t>
            </w:r>
          </w:p>
          <w:tbl>
            <w:tblPr>
              <w:tblStyle w:val="31"/>
              <w:tblW w:w="850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42"/>
              <w:gridCol w:w="1236"/>
              <w:gridCol w:w="1150"/>
              <w:gridCol w:w="1150"/>
              <w:gridCol w:w="946"/>
              <w:gridCol w:w="1021"/>
              <w:gridCol w:w="115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3078" w:type="dxa"/>
                  <w:gridSpan w:val="2"/>
                  <w:vAlign w:val="center"/>
                </w:tcPr>
                <w:p>
                  <w:pPr>
                    <w:jc w:val="center"/>
                    <w:rPr>
                      <w:snapToGrid w:val="0"/>
                      <w:color w:val="auto"/>
                      <w:kern w:val="0"/>
                      <w:szCs w:val="21"/>
                      <w:highlight w:val="none"/>
                    </w:rPr>
                  </w:pPr>
                  <w:r>
                    <w:rPr>
                      <w:snapToGrid w:val="0"/>
                      <w:color w:val="auto"/>
                      <w:kern w:val="0"/>
                      <w:szCs w:val="21"/>
                      <w:highlight w:val="none"/>
                    </w:rPr>
                    <w:t>主要噪声源</w:t>
                  </w:r>
                </w:p>
              </w:tc>
              <w:tc>
                <w:tcPr>
                  <w:tcW w:w="1150" w:type="dxa"/>
                  <w:vAlign w:val="center"/>
                </w:tcPr>
                <w:p>
                  <w:pPr>
                    <w:jc w:val="center"/>
                    <w:rPr>
                      <w:rFonts w:hint="eastAsia" w:eastAsia="宋体"/>
                      <w:snapToGrid w:val="0"/>
                      <w:color w:val="auto"/>
                      <w:kern w:val="0"/>
                      <w:szCs w:val="21"/>
                      <w:highlight w:val="none"/>
                      <w:lang w:eastAsia="zh-CN"/>
                    </w:rPr>
                  </w:pPr>
                  <w:r>
                    <w:rPr>
                      <w:rFonts w:hint="eastAsia"/>
                      <w:snapToGrid w:val="0"/>
                      <w:color w:val="auto"/>
                      <w:kern w:val="0"/>
                      <w:szCs w:val="21"/>
                      <w:highlight w:val="none"/>
                      <w:lang w:eastAsia="zh-CN"/>
                    </w:rPr>
                    <w:t>台套数</w:t>
                  </w:r>
                </w:p>
              </w:tc>
              <w:tc>
                <w:tcPr>
                  <w:tcW w:w="1150" w:type="dxa"/>
                  <w:vAlign w:val="center"/>
                </w:tcPr>
                <w:p>
                  <w:pPr>
                    <w:jc w:val="center"/>
                    <w:rPr>
                      <w:snapToGrid w:val="0"/>
                      <w:color w:val="auto"/>
                      <w:kern w:val="0"/>
                      <w:szCs w:val="21"/>
                      <w:highlight w:val="none"/>
                    </w:rPr>
                  </w:pPr>
                  <w:r>
                    <w:rPr>
                      <w:snapToGrid w:val="0"/>
                      <w:color w:val="auto"/>
                      <w:kern w:val="0"/>
                      <w:szCs w:val="21"/>
                      <w:highlight w:val="none"/>
                    </w:rPr>
                    <w:t>东厂界</w:t>
                  </w:r>
                </w:p>
              </w:tc>
              <w:tc>
                <w:tcPr>
                  <w:tcW w:w="946" w:type="dxa"/>
                  <w:vAlign w:val="center"/>
                </w:tcPr>
                <w:p>
                  <w:pPr>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西厂界</w:t>
                  </w:r>
                </w:p>
              </w:tc>
              <w:tc>
                <w:tcPr>
                  <w:tcW w:w="1021" w:type="dxa"/>
                  <w:vAlign w:val="center"/>
                </w:tcPr>
                <w:p>
                  <w:pPr>
                    <w:jc w:val="center"/>
                    <w:rPr>
                      <w:snapToGrid w:val="0"/>
                      <w:color w:val="auto"/>
                      <w:kern w:val="0"/>
                      <w:szCs w:val="21"/>
                      <w:highlight w:val="none"/>
                    </w:rPr>
                  </w:pPr>
                  <w:r>
                    <w:rPr>
                      <w:snapToGrid w:val="0"/>
                      <w:color w:val="auto"/>
                      <w:kern w:val="0"/>
                      <w:szCs w:val="21"/>
                      <w:highlight w:val="none"/>
                    </w:rPr>
                    <w:t>南厂界</w:t>
                  </w:r>
                </w:p>
              </w:tc>
              <w:tc>
                <w:tcPr>
                  <w:tcW w:w="1159" w:type="dxa"/>
                  <w:vAlign w:val="center"/>
                </w:tcPr>
                <w:p>
                  <w:pPr>
                    <w:jc w:val="center"/>
                    <w:rPr>
                      <w:snapToGrid w:val="0"/>
                      <w:color w:val="auto"/>
                      <w:kern w:val="0"/>
                      <w:szCs w:val="21"/>
                      <w:highlight w:val="none"/>
                    </w:rPr>
                  </w:pPr>
                  <w:r>
                    <w:rPr>
                      <w:snapToGrid w:val="0"/>
                      <w:color w:val="auto"/>
                      <w:kern w:val="0"/>
                      <w:szCs w:val="21"/>
                      <w:highlight w:val="none"/>
                    </w:rPr>
                    <w:t>北厂界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数控火焰切割机</w:t>
                  </w:r>
                </w:p>
              </w:tc>
              <w:tc>
                <w:tcPr>
                  <w:tcW w:w="1236"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65</w:t>
                  </w:r>
                </w:p>
              </w:tc>
              <w:tc>
                <w:tcPr>
                  <w:tcW w:w="1150" w:type="dxa"/>
                  <w:vAlign w:val="center"/>
                </w:tcPr>
                <w:p>
                  <w:pPr>
                    <w:pStyle w:val="51"/>
                    <w:spacing w:line="0" w:lineRule="atLeast"/>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w:t>
                  </w:r>
                </w:p>
              </w:tc>
              <w:tc>
                <w:tcPr>
                  <w:tcW w:w="1150" w:type="dxa"/>
                  <w:vAlign w:val="center"/>
                </w:tcPr>
                <w:p>
                  <w:pPr>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15</w:t>
                  </w:r>
                </w:p>
              </w:tc>
              <w:tc>
                <w:tcPr>
                  <w:tcW w:w="946" w:type="dxa"/>
                  <w:vAlign w:val="center"/>
                </w:tcPr>
                <w:p>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45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105</w:t>
                  </w:r>
                </w:p>
              </w:tc>
              <w:tc>
                <w:tcPr>
                  <w:tcW w:w="1159"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105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锯床</w:t>
                  </w:r>
                </w:p>
              </w:tc>
              <w:tc>
                <w:tcPr>
                  <w:tcW w:w="1236" w:type="dxa"/>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70</w:t>
                  </w:r>
                </w:p>
              </w:tc>
              <w:tc>
                <w:tcPr>
                  <w:tcW w:w="1150" w:type="dxa"/>
                  <w:vAlign w:val="center"/>
                </w:tcPr>
                <w:p>
                  <w:pPr>
                    <w:pStyle w:val="51"/>
                    <w:spacing w:line="0" w:lineRule="atLeast"/>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w:t>
                  </w:r>
                </w:p>
              </w:tc>
              <w:tc>
                <w:tcPr>
                  <w:tcW w:w="1150" w:type="dxa"/>
                  <w:vAlign w:val="center"/>
                </w:tcPr>
                <w:p>
                  <w:pPr>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45</w:t>
                  </w:r>
                </w:p>
              </w:tc>
              <w:tc>
                <w:tcPr>
                  <w:tcW w:w="946" w:type="dxa"/>
                  <w:vAlign w:val="center"/>
                </w:tcPr>
                <w:p>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15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120</w:t>
                  </w:r>
                </w:p>
              </w:tc>
              <w:tc>
                <w:tcPr>
                  <w:tcW w:w="1159"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90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5"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卷板机</w:t>
                  </w:r>
                </w:p>
              </w:tc>
              <w:tc>
                <w:tcPr>
                  <w:tcW w:w="1236" w:type="dxa"/>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60</w:t>
                  </w:r>
                </w:p>
              </w:tc>
              <w:tc>
                <w:tcPr>
                  <w:tcW w:w="1150" w:type="dxa"/>
                  <w:vAlign w:val="center"/>
                </w:tcPr>
                <w:p>
                  <w:pPr>
                    <w:pStyle w:val="51"/>
                    <w:spacing w:line="0" w:lineRule="atLeast"/>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w:t>
                  </w:r>
                </w:p>
              </w:tc>
              <w:tc>
                <w:tcPr>
                  <w:tcW w:w="1150" w:type="dxa"/>
                  <w:vAlign w:val="center"/>
                </w:tcPr>
                <w:p>
                  <w:pPr>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45</w:t>
                  </w:r>
                </w:p>
              </w:tc>
              <w:tc>
                <w:tcPr>
                  <w:tcW w:w="946" w:type="dxa"/>
                  <w:vAlign w:val="center"/>
                </w:tcPr>
                <w:p>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15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115</w:t>
                  </w:r>
                </w:p>
              </w:tc>
              <w:tc>
                <w:tcPr>
                  <w:tcW w:w="1159"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95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8"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加工中心</w:t>
                  </w:r>
                </w:p>
              </w:tc>
              <w:tc>
                <w:tcPr>
                  <w:tcW w:w="1236" w:type="dxa"/>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65</w:t>
                  </w:r>
                </w:p>
              </w:tc>
              <w:tc>
                <w:tcPr>
                  <w:tcW w:w="1150" w:type="dxa"/>
                  <w:vAlign w:val="center"/>
                </w:tcPr>
                <w:p>
                  <w:pPr>
                    <w:pStyle w:val="51"/>
                    <w:spacing w:line="0" w:lineRule="atLeast"/>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8</w:t>
                  </w:r>
                </w:p>
              </w:tc>
              <w:tc>
                <w:tcPr>
                  <w:tcW w:w="1150" w:type="dxa"/>
                  <w:vAlign w:val="center"/>
                </w:tcPr>
                <w:p>
                  <w:pPr>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45</w:t>
                  </w:r>
                </w:p>
              </w:tc>
              <w:tc>
                <w:tcPr>
                  <w:tcW w:w="946" w:type="dxa"/>
                  <w:vAlign w:val="center"/>
                </w:tcPr>
                <w:p>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15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105</w:t>
                  </w:r>
                </w:p>
              </w:tc>
              <w:tc>
                <w:tcPr>
                  <w:tcW w:w="1159"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105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车床</w:t>
                  </w:r>
                </w:p>
              </w:tc>
              <w:tc>
                <w:tcPr>
                  <w:tcW w:w="1236" w:type="dxa"/>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60</w:t>
                  </w:r>
                </w:p>
              </w:tc>
              <w:tc>
                <w:tcPr>
                  <w:tcW w:w="1150" w:type="dxa"/>
                  <w:vAlign w:val="center"/>
                </w:tcPr>
                <w:p>
                  <w:pPr>
                    <w:pStyle w:val="51"/>
                    <w:spacing w:line="0" w:lineRule="atLeast"/>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5</w:t>
                  </w:r>
                </w:p>
              </w:tc>
              <w:tc>
                <w:tcPr>
                  <w:tcW w:w="1150" w:type="dxa"/>
                  <w:vAlign w:val="center"/>
                </w:tcPr>
                <w:p>
                  <w:pPr>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18</w:t>
                  </w:r>
                </w:p>
              </w:tc>
              <w:tc>
                <w:tcPr>
                  <w:tcW w:w="946" w:type="dxa"/>
                  <w:vAlign w:val="center"/>
                </w:tcPr>
                <w:p>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42</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110</w:t>
                  </w:r>
                </w:p>
              </w:tc>
              <w:tc>
                <w:tcPr>
                  <w:tcW w:w="1159"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钻床</w:t>
                  </w:r>
                </w:p>
              </w:tc>
              <w:tc>
                <w:tcPr>
                  <w:tcW w:w="1236" w:type="dxa"/>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70</w:t>
                  </w:r>
                </w:p>
              </w:tc>
              <w:tc>
                <w:tcPr>
                  <w:tcW w:w="1150" w:type="dxa"/>
                  <w:vAlign w:val="center"/>
                </w:tcPr>
                <w:p>
                  <w:pPr>
                    <w:pStyle w:val="51"/>
                    <w:spacing w:line="0" w:lineRule="atLeast"/>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w:t>
                  </w:r>
                </w:p>
              </w:tc>
              <w:tc>
                <w:tcPr>
                  <w:tcW w:w="1150" w:type="dxa"/>
                  <w:vAlign w:val="center"/>
                </w:tcPr>
                <w:p>
                  <w:pPr>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45</w:t>
                  </w:r>
                </w:p>
              </w:tc>
              <w:tc>
                <w:tcPr>
                  <w:tcW w:w="946" w:type="dxa"/>
                  <w:vAlign w:val="center"/>
                </w:tcPr>
                <w:p>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15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140</w:t>
                  </w:r>
                </w:p>
              </w:tc>
              <w:tc>
                <w:tcPr>
                  <w:tcW w:w="1159"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70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磨床</w:t>
                  </w:r>
                </w:p>
              </w:tc>
              <w:tc>
                <w:tcPr>
                  <w:tcW w:w="1236" w:type="dxa"/>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65</w:t>
                  </w:r>
                </w:p>
              </w:tc>
              <w:tc>
                <w:tcPr>
                  <w:tcW w:w="1150" w:type="dxa"/>
                  <w:vAlign w:val="center"/>
                </w:tcPr>
                <w:p>
                  <w:pPr>
                    <w:pStyle w:val="51"/>
                    <w:spacing w:line="0" w:lineRule="atLeast"/>
                    <w:rPr>
                      <w:rFonts w:hint="default"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w:t>
                  </w:r>
                </w:p>
              </w:tc>
              <w:tc>
                <w:tcPr>
                  <w:tcW w:w="1150" w:type="dxa"/>
                  <w:vAlign w:val="center"/>
                </w:tcPr>
                <w:p>
                  <w:pPr>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45</w:t>
                  </w:r>
                </w:p>
              </w:tc>
              <w:tc>
                <w:tcPr>
                  <w:tcW w:w="946" w:type="dxa"/>
                  <w:vAlign w:val="center"/>
                </w:tcPr>
                <w:p>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15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125</w:t>
                  </w:r>
                </w:p>
              </w:tc>
              <w:tc>
                <w:tcPr>
                  <w:tcW w:w="1159"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85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镗床</w:t>
                  </w:r>
                </w:p>
              </w:tc>
              <w:tc>
                <w:tcPr>
                  <w:tcW w:w="1236"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65</w:t>
                  </w:r>
                </w:p>
              </w:tc>
              <w:tc>
                <w:tcPr>
                  <w:tcW w:w="1150" w:type="dxa"/>
                  <w:vAlign w:val="center"/>
                </w:tcPr>
                <w:p>
                  <w:pPr>
                    <w:pStyle w:val="51"/>
                    <w:spacing w:line="0" w:lineRule="atLeast"/>
                    <w:rPr>
                      <w:rFonts w:hint="default"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w:t>
                  </w:r>
                </w:p>
              </w:tc>
              <w:tc>
                <w:tcPr>
                  <w:tcW w:w="1150"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45</w:t>
                  </w:r>
                </w:p>
              </w:tc>
              <w:tc>
                <w:tcPr>
                  <w:tcW w:w="946" w:type="dxa"/>
                  <w:vAlign w:val="center"/>
                </w:tcPr>
                <w:p>
                  <w:pPr>
                    <w:jc w:val="center"/>
                    <w:rPr>
                      <w:rFonts w:hint="default"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15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130</w:t>
                  </w:r>
                </w:p>
              </w:tc>
              <w:tc>
                <w:tcPr>
                  <w:tcW w:w="1159" w:type="dxa"/>
                  <w:vAlign w:val="center"/>
                </w:tcPr>
                <w:p>
                  <w:pPr>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铣床</w:t>
                  </w:r>
                </w:p>
              </w:tc>
              <w:tc>
                <w:tcPr>
                  <w:tcW w:w="1236"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65</w:t>
                  </w:r>
                </w:p>
              </w:tc>
              <w:tc>
                <w:tcPr>
                  <w:tcW w:w="1150" w:type="dxa"/>
                  <w:vAlign w:val="center"/>
                </w:tcPr>
                <w:p>
                  <w:pPr>
                    <w:pStyle w:val="51"/>
                    <w:spacing w:line="0" w:lineRule="atLeast"/>
                    <w:rPr>
                      <w:rFonts w:hint="default"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2</w:t>
                  </w:r>
                </w:p>
              </w:tc>
              <w:tc>
                <w:tcPr>
                  <w:tcW w:w="1150"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45</w:t>
                  </w:r>
                </w:p>
              </w:tc>
              <w:tc>
                <w:tcPr>
                  <w:tcW w:w="946" w:type="dxa"/>
                  <w:vAlign w:val="center"/>
                </w:tcPr>
                <w:p>
                  <w:pPr>
                    <w:jc w:val="center"/>
                    <w:rPr>
                      <w:rFonts w:hint="default"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15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135</w:t>
                  </w:r>
                </w:p>
              </w:tc>
              <w:tc>
                <w:tcPr>
                  <w:tcW w:w="1159" w:type="dxa"/>
                  <w:vAlign w:val="center"/>
                </w:tcPr>
                <w:p>
                  <w:pPr>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75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自制抛光机</w:t>
                  </w:r>
                </w:p>
              </w:tc>
              <w:tc>
                <w:tcPr>
                  <w:tcW w:w="1236"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65</w:t>
                  </w:r>
                </w:p>
              </w:tc>
              <w:tc>
                <w:tcPr>
                  <w:tcW w:w="1150" w:type="dxa"/>
                  <w:vAlign w:val="center"/>
                </w:tcPr>
                <w:p>
                  <w:pPr>
                    <w:pStyle w:val="51"/>
                    <w:spacing w:line="0" w:lineRule="atLeast"/>
                    <w:rPr>
                      <w:rFonts w:hint="default"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2</w:t>
                  </w:r>
                </w:p>
              </w:tc>
              <w:tc>
                <w:tcPr>
                  <w:tcW w:w="1150"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18</w:t>
                  </w:r>
                </w:p>
              </w:tc>
              <w:tc>
                <w:tcPr>
                  <w:tcW w:w="946" w:type="dxa"/>
                  <w:vAlign w:val="center"/>
                </w:tcPr>
                <w:p>
                  <w:pPr>
                    <w:jc w:val="center"/>
                    <w:rPr>
                      <w:rFonts w:hint="default"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42</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125</w:t>
                  </w:r>
                </w:p>
              </w:tc>
              <w:tc>
                <w:tcPr>
                  <w:tcW w:w="1159" w:type="dxa"/>
                  <w:vAlign w:val="center"/>
                </w:tcPr>
                <w:p>
                  <w:pPr>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85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电阻炉</w:t>
                  </w:r>
                </w:p>
              </w:tc>
              <w:tc>
                <w:tcPr>
                  <w:tcW w:w="1236"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65</w:t>
                  </w:r>
                </w:p>
              </w:tc>
              <w:tc>
                <w:tcPr>
                  <w:tcW w:w="1150" w:type="dxa"/>
                  <w:vAlign w:val="center"/>
                </w:tcPr>
                <w:p>
                  <w:pPr>
                    <w:pStyle w:val="51"/>
                    <w:spacing w:line="0" w:lineRule="atLeast"/>
                    <w:rPr>
                      <w:rFonts w:hint="default"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2</w:t>
                  </w:r>
                </w:p>
              </w:tc>
              <w:tc>
                <w:tcPr>
                  <w:tcW w:w="1150"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18</w:t>
                  </w:r>
                </w:p>
              </w:tc>
              <w:tc>
                <w:tcPr>
                  <w:tcW w:w="946" w:type="dxa"/>
                  <w:vAlign w:val="center"/>
                </w:tcPr>
                <w:p>
                  <w:pPr>
                    <w:jc w:val="center"/>
                    <w:rPr>
                      <w:rFonts w:hint="default"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42</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130</w:t>
                  </w:r>
                </w:p>
              </w:tc>
              <w:tc>
                <w:tcPr>
                  <w:tcW w:w="1159" w:type="dxa"/>
                  <w:vAlign w:val="center"/>
                </w:tcPr>
                <w:p>
                  <w:pPr>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风机</w:t>
                  </w:r>
                </w:p>
              </w:tc>
              <w:tc>
                <w:tcPr>
                  <w:tcW w:w="1236"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70</w:t>
                  </w:r>
                </w:p>
              </w:tc>
              <w:tc>
                <w:tcPr>
                  <w:tcW w:w="1150" w:type="dxa"/>
                  <w:vAlign w:val="center"/>
                </w:tcPr>
                <w:p>
                  <w:pPr>
                    <w:pStyle w:val="51"/>
                    <w:spacing w:line="0" w:lineRule="atLeast"/>
                    <w:rPr>
                      <w:rFonts w:hint="default"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w:t>
                  </w:r>
                </w:p>
              </w:tc>
              <w:tc>
                <w:tcPr>
                  <w:tcW w:w="1150"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5</w:t>
                  </w:r>
                </w:p>
              </w:tc>
              <w:tc>
                <w:tcPr>
                  <w:tcW w:w="946" w:type="dxa"/>
                  <w:vAlign w:val="center"/>
                </w:tcPr>
                <w:p>
                  <w:pPr>
                    <w:jc w:val="center"/>
                    <w:rPr>
                      <w:rFonts w:hint="default"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55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110</w:t>
                  </w:r>
                </w:p>
              </w:tc>
              <w:tc>
                <w:tcPr>
                  <w:tcW w:w="1159" w:type="dxa"/>
                  <w:vAlign w:val="center"/>
                </w:tcPr>
                <w:p>
                  <w:pPr>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exact"/>
                <w:jc w:val="center"/>
              </w:trPr>
              <w:tc>
                <w:tcPr>
                  <w:tcW w:w="184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空压机</w:t>
                  </w:r>
                </w:p>
              </w:tc>
              <w:tc>
                <w:tcPr>
                  <w:tcW w:w="1236"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70</w:t>
                  </w:r>
                </w:p>
              </w:tc>
              <w:tc>
                <w:tcPr>
                  <w:tcW w:w="1150" w:type="dxa"/>
                  <w:vAlign w:val="center"/>
                </w:tcPr>
                <w:p>
                  <w:pPr>
                    <w:pStyle w:val="51"/>
                    <w:spacing w:line="0" w:lineRule="atLeast"/>
                    <w:rPr>
                      <w:rFonts w:hint="default"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2</w:t>
                  </w:r>
                </w:p>
              </w:tc>
              <w:tc>
                <w:tcPr>
                  <w:tcW w:w="1150"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25</w:t>
                  </w:r>
                </w:p>
              </w:tc>
              <w:tc>
                <w:tcPr>
                  <w:tcW w:w="946" w:type="dxa"/>
                  <w:vAlign w:val="center"/>
                </w:tcPr>
                <w:p>
                  <w:pPr>
                    <w:jc w:val="center"/>
                    <w:rPr>
                      <w:rFonts w:hint="default"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35</w:t>
                  </w:r>
                </w:p>
              </w:tc>
              <w:tc>
                <w:tcPr>
                  <w:tcW w:w="1021" w:type="dxa"/>
                  <w:vAlign w:val="center"/>
                </w:tcPr>
                <w:p>
                  <w:pPr>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150</w:t>
                  </w:r>
                </w:p>
              </w:tc>
              <w:tc>
                <w:tcPr>
                  <w:tcW w:w="1159" w:type="dxa"/>
                  <w:vAlign w:val="center"/>
                </w:tcPr>
                <w:p>
                  <w:pPr>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60</w:t>
                  </w:r>
                </w:p>
              </w:tc>
            </w:tr>
          </w:tbl>
          <w:p>
            <w:pPr>
              <w:spacing w:line="440" w:lineRule="exact"/>
              <w:ind w:firstLine="482" w:firstLineChars="200"/>
              <w:jc w:val="center"/>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eastAsia" w:cs="Times New Roman"/>
                <w:b/>
                <w:bCs/>
                <w:color w:val="auto"/>
                <w:sz w:val="24"/>
                <w:highlight w:val="none"/>
                <w:lang w:val="en-US" w:eastAsia="zh-CN"/>
              </w:rPr>
              <w:t>32</w:t>
            </w:r>
            <w:r>
              <w:rPr>
                <w:rFonts w:hint="default" w:ascii="Times New Roman" w:hAnsi="Times New Roman" w:eastAsia="宋体" w:cs="Times New Roman"/>
                <w:b/>
                <w:bCs/>
                <w:color w:val="auto"/>
                <w:sz w:val="24"/>
                <w:highlight w:val="none"/>
                <w:lang w:val="en-US" w:eastAsia="zh-CN"/>
              </w:rPr>
              <w:t xml:space="preserve"> </w:t>
            </w:r>
            <w:r>
              <w:rPr>
                <w:rFonts w:hint="default" w:ascii="Times New Roman" w:hAnsi="Times New Roman" w:eastAsia="宋体" w:cs="Times New Roman"/>
                <w:b/>
                <w:bCs/>
                <w:color w:val="auto"/>
                <w:sz w:val="24"/>
                <w:highlight w:val="none"/>
              </w:rPr>
              <w:t xml:space="preserve">  厂界昼间噪声预测结果    单位：dB(A)</w:t>
            </w:r>
          </w:p>
          <w:tbl>
            <w:tblPr>
              <w:tblStyle w:val="31"/>
              <w:tblW w:w="850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
            <w:tblGrid>
              <w:gridCol w:w="1037"/>
              <w:gridCol w:w="1073"/>
              <w:gridCol w:w="1088"/>
              <w:gridCol w:w="1203"/>
              <w:gridCol w:w="2571"/>
              <w:gridCol w:w="153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cantSplit/>
                <w:trHeight w:val="283" w:hRule="atLeast"/>
                <w:jc w:val="center"/>
              </w:trPr>
              <w:tc>
                <w:tcPr>
                  <w:tcW w:w="1030"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预测点</w:t>
                  </w:r>
                </w:p>
              </w:tc>
              <w:tc>
                <w:tcPr>
                  <w:tcW w:w="1065"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贡献值</w:t>
                  </w:r>
                </w:p>
              </w:tc>
              <w:tc>
                <w:tcPr>
                  <w:tcW w:w="1080" w:type="dxa"/>
                  <w:vAlign w:val="center"/>
                </w:tcPr>
                <w:p>
                  <w:pPr>
                    <w:adjustRightInd w:val="0"/>
                    <w:spacing w:line="0" w:lineRule="atLeast"/>
                    <w:jc w:val="center"/>
                    <w:rPr>
                      <w:rFonts w:hint="default" w:ascii="Times New Roman" w:hAnsi="Times New Roman" w:cs="Times New Roman"/>
                      <w:color w:val="auto"/>
                      <w:highlight w:val="none"/>
                    </w:rPr>
                  </w:pPr>
                  <w:r>
                    <w:rPr>
                      <w:rFonts w:hint="eastAsia" w:cs="Times New Roman"/>
                      <w:color w:val="auto"/>
                      <w:highlight w:val="none"/>
                      <w:lang w:eastAsia="zh-CN"/>
                    </w:rPr>
                    <w:t>现有项目噪声值</w:t>
                  </w:r>
                </w:p>
              </w:tc>
              <w:tc>
                <w:tcPr>
                  <w:tcW w:w="1195"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预测值</w:t>
                  </w:r>
                </w:p>
              </w:tc>
              <w:tc>
                <w:tcPr>
                  <w:tcW w:w="2553"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标准值</w:t>
                  </w:r>
                </w:p>
              </w:tc>
              <w:tc>
                <w:tcPr>
                  <w:tcW w:w="1521"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是否达标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cantSplit/>
                <w:trHeight w:val="256" w:hRule="atLeast"/>
                <w:jc w:val="center"/>
              </w:trPr>
              <w:tc>
                <w:tcPr>
                  <w:tcW w:w="1030"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东厂界</w:t>
                  </w:r>
                </w:p>
              </w:tc>
              <w:tc>
                <w:tcPr>
                  <w:tcW w:w="1065" w:type="dxa"/>
                  <w:vAlign w:val="center"/>
                </w:tcPr>
                <w:p>
                  <w:pPr>
                    <w:adjustRightInd w:val="0"/>
                    <w:spacing w:line="0" w:lineRule="atLeast"/>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57.4</w:t>
                  </w:r>
                </w:p>
              </w:tc>
              <w:tc>
                <w:tcPr>
                  <w:tcW w:w="1080" w:type="dxa"/>
                  <w:vAlign w:val="center"/>
                </w:tcPr>
                <w:p>
                  <w:pPr>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61.7</w:t>
                  </w:r>
                </w:p>
              </w:tc>
              <w:tc>
                <w:tcPr>
                  <w:tcW w:w="1195" w:type="dxa"/>
                  <w:vAlign w:val="center"/>
                </w:tcPr>
                <w:p>
                  <w:pPr>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63.1</w:t>
                  </w:r>
                </w:p>
              </w:tc>
              <w:tc>
                <w:tcPr>
                  <w:tcW w:w="2553" w:type="dxa"/>
                  <w:vMerge w:val="restart"/>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w:t>
                  </w:r>
                </w:p>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昼间</w:t>
                  </w:r>
                  <w:r>
                    <w:rPr>
                      <w:rFonts w:hint="eastAsia" w:cs="Times New Roman"/>
                      <w:color w:val="auto"/>
                      <w:highlight w:val="none"/>
                      <w:lang w:eastAsia="zh-CN"/>
                    </w:rPr>
                    <w:t>≤</w:t>
                  </w:r>
                  <w:r>
                    <w:rPr>
                      <w:rFonts w:hint="default" w:ascii="Times New Roman" w:hAnsi="Times New Roman" w:cs="Times New Roman"/>
                      <w:color w:val="auto"/>
                      <w:highlight w:val="none"/>
                    </w:rPr>
                    <w:t>6</w:t>
                  </w:r>
                  <w:r>
                    <w:rPr>
                      <w:rFonts w:hint="eastAsia" w:cs="Times New Roman"/>
                      <w:color w:val="auto"/>
                      <w:highlight w:val="none"/>
                      <w:lang w:val="en-US" w:eastAsia="zh-CN"/>
                    </w:rPr>
                    <w:t>5</w:t>
                  </w:r>
                  <w:r>
                    <w:rPr>
                      <w:rFonts w:hint="default" w:ascii="Times New Roman" w:hAnsi="Times New Roman" w:cs="Times New Roman"/>
                      <w:color w:val="auto"/>
                      <w:highlight w:val="none"/>
                    </w:rPr>
                    <w:t>dB(A)</w:t>
                  </w:r>
                </w:p>
              </w:tc>
              <w:tc>
                <w:tcPr>
                  <w:tcW w:w="1521"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cantSplit/>
                <w:trHeight w:val="283" w:hRule="atLeast"/>
                <w:jc w:val="center"/>
              </w:trPr>
              <w:tc>
                <w:tcPr>
                  <w:tcW w:w="1030"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南厂界</w:t>
                  </w:r>
                </w:p>
              </w:tc>
              <w:tc>
                <w:tcPr>
                  <w:tcW w:w="1065" w:type="dxa"/>
                  <w:vAlign w:val="center"/>
                </w:tcPr>
                <w:p>
                  <w:pPr>
                    <w:adjustRightInd w:val="0"/>
                    <w:spacing w:line="0" w:lineRule="atLeast"/>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49.0</w:t>
                  </w:r>
                </w:p>
              </w:tc>
              <w:tc>
                <w:tcPr>
                  <w:tcW w:w="1080" w:type="dxa"/>
                  <w:vAlign w:val="center"/>
                </w:tcPr>
                <w:p>
                  <w:pPr>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63.1</w:t>
                  </w:r>
                </w:p>
              </w:tc>
              <w:tc>
                <w:tcPr>
                  <w:tcW w:w="1195" w:type="dxa"/>
                  <w:vAlign w:val="center"/>
                </w:tcPr>
                <w:p>
                  <w:pPr>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63.3</w:t>
                  </w:r>
                </w:p>
              </w:tc>
              <w:tc>
                <w:tcPr>
                  <w:tcW w:w="2553" w:type="dxa"/>
                  <w:vMerge w:val="continue"/>
                  <w:vAlign w:val="center"/>
                </w:tcPr>
                <w:p>
                  <w:pPr>
                    <w:adjustRightInd w:val="0"/>
                    <w:spacing w:line="0" w:lineRule="atLeast"/>
                    <w:jc w:val="center"/>
                    <w:rPr>
                      <w:rFonts w:hint="default" w:ascii="Times New Roman" w:hAnsi="Times New Roman" w:cs="Times New Roman"/>
                      <w:color w:val="auto"/>
                      <w:highlight w:val="none"/>
                    </w:rPr>
                  </w:pPr>
                </w:p>
              </w:tc>
              <w:tc>
                <w:tcPr>
                  <w:tcW w:w="1521"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cantSplit/>
                <w:trHeight w:val="283" w:hRule="atLeast"/>
                <w:jc w:val="center"/>
              </w:trPr>
              <w:tc>
                <w:tcPr>
                  <w:tcW w:w="1030"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西厂界</w:t>
                  </w:r>
                </w:p>
              </w:tc>
              <w:tc>
                <w:tcPr>
                  <w:tcW w:w="1065" w:type="dxa"/>
                  <w:vAlign w:val="center"/>
                </w:tcPr>
                <w:p>
                  <w:pPr>
                    <w:adjustRightInd w:val="0"/>
                    <w:spacing w:line="0" w:lineRule="atLeast"/>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54.7</w:t>
                  </w:r>
                </w:p>
              </w:tc>
              <w:tc>
                <w:tcPr>
                  <w:tcW w:w="1080" w:type="dxa"/>
                  <w:vAlign w:val="center"/>
                </w:tcPr>
                <w:p>
                  <w:pPr>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1195" w:type="dxa"/>
                  <w:vAlign w:val="center"/>
                </w:tcPr>
                <w:p>
                  <w:pPr>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2553" w:type="dxa"/>
                  <w:vMerge w:val="continue"/>
                  <w:vAlign w:val="center"/>
                </w:tcPr>
                <w:p>
                  <w:pPr>
                    <w:adjustRightInd w:val="0"/>
                    <w:spacing w:line="0" w:lineRule="atLeast"/>
                    <w:jc w:val="center"/>
                    <w:rPr>
                      <w:rFonts w:hint="default" w:ascii="Times New Roman" w:hAnsi="Times New Roman" w:cs="Times New Roman"/>
                      <w:color w:val="auto"/>
                      <w:highlight w:val="none"/>
                    </w:rPr>
                  </w:pPr>
                </w:p>
              </w:tc>
              <w:tc>
                <w:tcPr>
                  <w:tcW w:w="1521"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cantSplit/>
                <w:trHeight w:val="283" w:hRule="atLeast"/>
                <w:jc w:val="center"/>
              </w:trPr>
              <w:tc>
                <w:tcPr>
                  <w:tcW w:w="1030"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北厂界</w:t>
                  </w:r>
                </w:p>
              </w:tc>
              <w:tc>
                <w:tcPr>
                  <w:tcW w:w="1065" w:type="dxa"/>
                  <w:vAlign w:val="center"/>
                </w:tcPr>
                <w:p>
                  <w:pPr>
                    <w:adjustRightInd w:val="0"/>
                    <w:spacing w:line="0" w:lineRule="atLeast"/>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50.0</w:t>
                  </w:r>
                </w:p>
              </w:tc>
              <w:tc>
                <w:tcPr>
                  <w:tcW w:w="1080" w:type="dxa"/>
                  <w:vAlign w:val="center"/>
                </w:tcPr>
                <w:p>
                  <w:pPr>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64.0</w:t>
                  </w:r>
                </w:p>
              </w:tc>
              <w:tc>
                <w:tcPr>
                  <w:tcW w:w="1195" w:type="dxa"/>
                  <w:vAlign w:val="center"/>
                </w:tcPr>
                <w:p>
                  <w:pPr>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64.2</w:t>
                  </w:r>
                </w:p>
              </w:tc>
              <w:tc>
                <w:tcPr>
                  <w:tcW w:w="2553" w:type="dxa"/>
                  <w:vMerge w:val="continue"/>
                  <w:vAlign w:val="center"/>
                </w:tcPr>
                <w:p>
                  <w:pPr>
                    <w:adjustRightInd w:val="0"/>
                    <w:spacing w:line="0" w:lineRule="atLeast"/>
                    <w:jc w:val="center"/>
                    <w:rPr>
                      <w:rFonts w:hint="default" w:ascii="Times New Roman" w:hAnsi="Times New Roman" w:cs="Times New Roman"/>
                      <w:color w:val="auto"/>
                      <w:highlight w:val="none"/>
                    </w:rPr>
                  </w:pPr>
                </w:p>
              </w:tc>
              <w:tc>
                <w:tcPr>
                  <w:tcW w:w="1521" w:type="dxa"/>
                  <w:vAlign w:val="center"/>
                </w:tcPr>
                <w:p>
                  <w:pPr>
                    <w:adjustRightInd w:val="0"/>
                    <w:spacing w:line="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bl>
          <w:p>
            <w:pPr>
              <w:spacing w:line="360" w:lineRule="auto"/>
              <w:ind w:firstLine="480" w:firstLineChars="200"/>
              <w:jc w:val="left"/>
              <w:rPr>
                <w:color w:val="auto"/>
                <w:sz w:val="24"/>
                <w:highlight w:val="none"/>
              </w:rPr>
            </w:pPr>
            <w:r>
              <w:rPr>
                <w:rFonts w:hint="eastAsia"/>
                <w:color w:val="auto"/>
                <w:sz w:val="24"/>
                <w:highlight w:val="none"/>
                <w:lang w:eastAsia="zh-CN"/>
              </w:rPr>
              <w:t>现有项目噪声值来自《河北透平风机制造有限公司</w:t>
            </w:r>
            <w:r>
              <w:rPr>
                <w:rFonts w:hint="eastAsia"/>
                <w:color w:val="auto"/>
                <w:sz w:val="24"/>
                <w:highlight w:val="none"/>
                <w:lang w:val="en-US" w:eastAsia="zh-CN"/>
              </w:rPr>
              <w:t>激光熔覆修复及透平机配件生产项目验收监测报告</w:t>
            </w:r>
            <w:r>
              <w:rPr>
                <w:rFonts w:hint="eastAsia"/>
                <w:color w:val="auto"/>
                <w:sz w:val="24"/>
                <w:highlight w:val="none"/>
                <w:lang w:eastAsia="zh-CN"/>
              </w:rPr>
              <w:t>》（河北德禹（</w:t>
            </w:r>
            <w:r>
              <w:rPr>
                <w:rFonts w:hint="eastAsia"/>
                <w:color w:val="auto"/>
                <w:sz w:val="24"/>
                <w:highlight w:val="none"/>
                <w:lang w:val="en-US" w:eastAsia="zh-CN"/>
              </w:rPr>
              <w:t>2018</w:t>
            </w:r>
            <w:r>
              <w:rPr>
                <w:rFonts w:hint="eastAsia"/>
                <w:color w:val="auto"/>
                <w:sz w:val="24"/>
                <w:highlight w:val="none"/>
                <w:lang w:eastAsia="zh-CN"/>
              </w:rPr>
              <w:t>）环检（验）第</w:t>
            </w:r>
            <w:r>
              <w:rPr>
                <w:rFonts w:hint="eastAsia"/>
                <w:color w:val="auto"/>
                <w:sz w:val="24"/>
                <w:highlight w:val="none"/>
                <w:lang w:val="en-US" w:eastAsia="zh-CN"/>
              </w:rPr>
              <w:t>1020号</w:t>
            </w:r>
            <w:r>
              <w:rPr>
                <w:rFonts w:hint="eastAsia"/>
                <w:color w:val="auto"/>
                <w:sz w:val="24"/>
                <w:highlight w:val="none"/>
                <w:lang w:eastAsia="zh-CN"/>
              </w:rPr>
              <w:t>）中监测数据</w:t>
            </w:r>
            <w:r>
              <w:rPr>
                <w:rFonts w:hint="eastAsia" w:cs="Times New Roman"/>
                <w:bCs/>
                <w:color w:val="auto"/>
                <w:sz w:val="24"/>
                <w:highlight w:val="none"/>
                <w:lang w:eastAsia="zh-CN"/>
              </w:rPr>
              <w:t>。</w:t>
            </w:r>
            <w:r>
              <w:rPr>
                <w:rFonts w:hint="default"/>
                <w:color w:val="auto"/>
                <w:sz w:val="24"/>
                <w:highlight w:val="none"/>
                <w:lang w:eastAsia="zh-CN"/>
              </w:rPr>
              <w:t>本项目夜间不工作</w:t>
            </w:r>
            <w:r>
              <w:rPr>
                <w:rFonts w:hint="eastAsia"/>
                <w:color w:val="auto"/>
                <w:sz w:val="24"/>
                <w:highlight w:val="none"/>
                <w:lang w:eastAsia="zh-CN"/>
              </w:rPr>
              <w:t>（西厂界为共用厂界）</w:t>
            </w:r>
            <w:r>
              <w:rPr>
                <w:rFonts w:hint="default"/>
                <w:color w:val="auto"/>
                <w:sz w:val="24"/>
                <w:highlight w:val="none"/>
                <w:lang w:eastAsia="zh-CN"/>
              </w:rPr>
              <w:t>，从表</w:t>
            </w:r>
            <w:r>
              <w:rPr>
                <w:rFonts w:hint="eastAsia"/>
                <w:color w:val="auto"/>
                <w:sz w:val="24"/>
                <w:highlight w:val="none"/>
                <w:lang w:val="en-US" w:eastAsia="zh-CN"/>
              </w:rPr>
              <w:t>32</w:t>
            </w:r>
            <w:r>
              <w:rPr>
                <w:rFonts w:hint="default"/>
                <w:color w:val="auto"/>
                <w:sz w:val="24"/>
                <w:highlight w:val="none"/>
                <w:lang w:eastAsia="zh-CN"/>
              </w:rPr>
              <w:t>中可以看出，噪声源对各评价点昼间的贡献值声级</w:t>
            </w:r>
            <w:r>
              <w:rPr>
                <w:rFonts w:hint="eastAsia"/>
                <w:color w:val="auto"/>
                <w:sz w:val="24"/>
                <w:highlight w:val="none"/>
                <w:lang w:eastAsia="zh-CN"/>
              </w:rPr>
              <w:t>为</w:t>
            </w:r>
            <w:r>
              <w:rPr>
                <w:rFonts w:hint="eastAsia"/>
                <w:color w:val="auto"/>
                <w:sz w:val="24"/>
                <w:highlight w:val="none"/>
                <w:lang w:val="en-US" w:eastAsia="zh-CN"/>
              </w:rPr>
              <w:t>49.0~57.4</w:t>
            </w:r>
            <w:r>
              <w:rPr>
                <w:rFonts w:hint="default"/>
                <w:color w:val="auto"/>
                <w:sz w:val="24"/>
                <w:highlight w:val="none"/>
                <w:lang w:eastAsia="zh-CN"/>
              </w:rPr>
              <w:t>dB(A)之间，</w:t>
            </w:r>
            <w:r>
              <w:rPr>
                <w:rFonts w:hint="eastAsia"/>
                <w:color w:val="auto"/>
                <w:sz w:val="24"/>
                <w:highlight w:val="none"/>
                <w:lang w:eastAsia="zh-CN"/>
              </w:rPr>
              <w:t>与现有项目噪声值叠加后，预测值为</w:t>
            </w:r>
            <w:r>
              <w:rPr>
                <w:rFonts w:hint="eastAsia"/>
                <w:color w:val="auto"/>
                <w:sz w:val="24"/>
                <w:highlight w:val="none"/>
                <w:lang w:val="en-US" w:eastAsia="zh-CN"/>
              </w:rPr>
              <w:t>63.1~64.2</w:t>
            </w:r>
            <w:r>
              <w:rPr>
                <w:rFonts w:hint="default"/>
                <w:color w:val="auto"/>
                <w:sz w:val="24"/>
                <w:highlight w:val="none"/>
                <w:lang w:eastAsia="zh-CN"/>
              </w:rPr>
              <w:t>dB(A)之间</w:t>
            </w:r>
            <w:r>
              <w:rPr>
                <w:rFonts w:hint="eastAsia"/>
                <w:color w:val="auto"/>
                <w:sz w:val="24"/>
                <w:highlight w:val="none"/>
                <w:lang w:eastAsia="zh-CN"/>
              </w:rPr>
              <w:t>，</w:t>
            </w:r>
            <w:r>
              <w:rPr>
                <w:rFonts w:hint="default"/>
                <w:color w:val="auto"/>
                <w:sz w:val="24"/>
                <w:highlight w:val="none"/>
                <w:lang w:eastAsia="zh-CN"/>
              </w:rPr>
              <w:t>厂界噪声</w:t>
            </w:r>
            <w:r>
              <w:rPr>
                <w:rFonts w:hint="eastAsia"/>
                <w:color w:val="auto"/>
                <w:sz w:val="24"/>
                <w:highlight w:val="none"/>
                <w:lang w:eastAsia="zh-CN"/>
              </w:rPr>
              <w:t>预测</w:t>
            </w:r>
            <w:r>
              <w:rPr>
                <w:rFonts w:hint="default"/>
                <w:color w:val="auto"/>
                <w:sz w:val="24"/>
                <w:highlight w:val="none"/>
                <w:lang w:eastAsia="zh-CN"/>
              </w:rPr>
              <w:t>值满足《工业企业厂界环境噪声排放标准》（GB12348-2008）中</w:t>
            </w:r>
            <w:r>
              <w:rPr>
                <w:rFonts w:hint="eastAsia"/>
                <w:color w:val="auto"/>
                <w:sz w:val="24"/>
                <w:highlight w:val="none"/>
                <w:lang w:val="en-US" w:eastAsia="zh-CN"/>
              </w:rPr>
              <w:t>3</w:t>
            </w:r>
            <w:r>
              <w:rPr>
                <w:rFonts w:hint="default"/>
                <w:color w:val="auto"/>
                <w:sz w:val="24"/>
                <w:highlight w:val="none"/>
                <w:lang w:eastAsia="zh-CN"/>
              </w:rPr>
              <w:t>类标准要求</w:t>
            </w:r>
            <w:r>
              <w:rPr>
                <w:rFonts w:hint="eastAsia"/>
                <w:color w:val="auto"/>
                <w:sz w:val="24"/>
                <w:highlight w:val="none"/>
                <w:lang w:eastAsia="zh-CN"/>
              </w:rPr>
              <w:t>，</w:t>
            </w:r>
            <w:r>
              <w:rPr>
                <w:rFonts w:hint="default"/>
                <w:color w:val="auto"/>
                <w:sz w:val="24"/>
                <w:highlight w:val="none"/>
                <w:lang w:eastAsia="zh-CN"/>
              </w:rPr>
              <w:t>厂界噪声预测值满足《声环境质量标准》（GB3096-2008）</w:t>
            </w:r>
            <w:r>
              <w:rPr>
                <w:rFonts w:hint="eastAsia"/>
                <w:color w:val="auto"/>
                <w:sz w:val="24"/>
                <w:highlight w:val="none"/>
                <w:lang w:val="en-US" w:eastAsia="zh-CN"/>
              </w:rPr>
              <w:t>3</w:t>
            </w:r>
            <w:r>
              <w:rPr>
                <w:rFonts w:hint="default"/>
                <w:color w:val="auto"/>
                <w:sz w:val="24"/>
                <w:highlight w:val="none"/>
                <w:lang w:eastAsia="zh-CN"/>
              </w:rPr>
              <w:t>类区标准要求。不会对周围敏感点造成明显影响。</w:t>
            </w:r>
          </w:p>
          <w:p>
            <w:pPr>
              <w:spacing w:line="360" w:lineRule="auto"/>
              <w:ind w:firstLine="480" w:firstLineChars="200"/>
              <w:jc w:val="left"/>
              <w:rPr>
                <w:color w:val="auto"/>
                <w:sz w:val="24"/>
                <w:highlight w:val="none"/>
              </w:rPr>
            </w:pPr>
            <w:r>
              <w:rPr>
                <w:color w:val="auto"/>
                <w:sz w:val="24"/>
                <w:highlight w:val="none"/>
              </w:rPr>
              <w:t>（4）固废环境影响分析</w:t>
            </w:r>
          </w:p>
          <w:p>
            <w:pPr>
              <w:spacing w:line="360" w:lineRule="auto"/>
              <w:ind w:firstLine="512" w:firstLineChars="200"/>
              <w:jc w:val="left"/>
              <w:rPr>
                <w:rFonts w:hint="eastAsia"/>
                <w:color w:val="auto"/>
                <w:spacing w:val="8"/>
                <w:kern w:val="24"/>
                <w:sz w:val="24"/>
                <w:highlight w:val="none"/>
                <w:lang w:val="zh-CN"/>
              </w:rPr>
            </w:pPr>
            <w:r>
              <w:rPr>
                <w:rFonts w:hint="eastAsia"/>
                <w:color w:val="auto"/>
                <w:spacing w:val="8"/>
                <w:kern w:val="24"/>
                <w:sz w:val="24"/>
                <w:highlight w:val="none"/>
                <w:lang w:val="zh-CN"/>
              </w:rPr>
              <w:t>技改项目不新增劳动定员，不新增生活垃圾。技改项目</w:t>
            </w:r>
            <w:r>
              <w:rPr>
                <w:color w:val="auto"/>
                <w:spacing w:val="8"/>
                <w:kern w:val="24"/>
                <w:sz w:val="24"/>
                <w:highlight w:val="none"/>
                <w:lang w:val="zh-CN"/>
              </w:rPr>
              <w:t>固废主要为</w:t>
            </w:r>
            <w:r>
              <w:rPr>
                <w:rFonts w:hint="eastAsia"/>
                <w:color w:val="auto"/>
                <w:spacing w:val="8"/>
                <w:kern w:val="24"/>
                <w:sz w:val="24"/>
                <w:highlight w:val="none"/>
                <w:lang w:val="zh-CN"/>
              </w:rPr>
              <w:t>下料、机加工产生的下脚料，锯床、</w:t>
            </w:r>
            <w:r>
              <w:rPr>
                <w:color w:val="auto"/>
                <w:spacing w:val="8"/>
                <w:kern w:val="24"/>
                <w:sz w:val="24"/>
                <w:highlight w:val="none"/>
                <w:lang w:val="zh-CN"/>
              </w:rPr>
              <w:t>铣床</w:t>
            </w:r>
            <w:r>
              <w:rPr>
                <w:rFonts w:hint="eastAsia"/>
                <w:color w:val="auto"/>
                <w:spacing w:val="8"/>
                <w:kern w:val="24"/>
                <w:sz w:val="24"/>
                <w:highlight w:val="none"/>
                <w:lang w:val="zh-CN" w:eastAsia="zh-CN"/>
              </w:rPr>
              <w:t>产生的含油金属屑、废切削液、废切削液桶，</w:t>
            </w:r>
            <w:r>
              <w:rPr>
                <w:color w:val="auto"/>
                <w:spacing w:val="8"/>
                <w:kern w:val="24"/>
                <w:sz w:val="24"/>
                <w:highlight w:val="none"/>
                <w:lang w:val="zh-CN"/>
              </w:rPr>
              <w:t>设备运转维修</w:t>
            </w:r>
            <w:r>
              <w:rPr>
                <w:rFonts w:hint="eastAsia"/>
                <w:color w:val="auto"/>
                <w:spacing w:val="8"/>
                <w:kern w:val="24"/>
                <w:sz w:val="24"/>
                <w:highlight w:val="none"/>
                <w:lang w:val="zh-CN"/>
              </w:rPr>
              <w:t>过程中产生的废润滑油、废液压油、废包装桶</w:t>
            </w:r>
            <w:r>
              <w:rPr>
                <w:rFonts w:hint="eastAsia"/>
                <w:color w:val="auto"/>
                <w:spacing w:val="8"/>
                <w:kern w:val="24"/>
                <w:sz w:val="24"/>
                <w:highlight w:val="none"/>
                <w:lang w:val="en-US" w:eastAsia="zh-CN"/>
              </w:rPr>
              <w:t>，设备维修产生的</w:t>
            </w:r>
            <w:r>
              <w:rPr>
                <w:rFonts w:hint="eastAsia"/>
                <w:color w:val="auto"/>
                <w:spacing w:val="8"/>
                <w:kern w:val="24"/>
                <w:sz w:val="24"/>
                <w:highlight w:val="none"/>
                <w:lang w:val="zh-CN" w:eastAsia="zh-CN"/>
              </w:rPr>
              <w:t>含油废抹布及废手套，</w:t>
            </w:r>
            <w:r>
              <w:rPr>
                <w:rFonts w:hint="eastAsia"/>
                <w:color w:val="auto"/>
                <w:spacing w:val="8"/>
                <w:kern w:val="24"/>
                <w:sz w:val="24"/>
                <w:highlight w:val="none"/>
                <w:lang w:val="zh-CN"/>
              </w:rPr>
              <w:t>除尘器产生的除尘灰。</w:t>
            </w:r>
          </w:p>
          <w:p>
            <w:pPr>
              <w:spacing w:line="360" w:lineRule="auto"/>
              <w:ind w:firstLine="512" w:firstLineChars="200"/>
              <w:jc w:val="left"/>
              <w:rPr>
                <w:color w:val="auto"/>
                <w:spacing w:val="8"/>
                <w:kern w:val="24"/>
                <w:sz w:val="24"/>
                <w:highlight w:val="none"/>
                <w:lang w:val="zh-CN"/>
              </w:rPr>
            </w:pPr>
            <w:r>
              <w:rPr>
                <w:color w:val="auto"/>
                <w:spacing w:val="8"/>
                <w:kern w:val="24"/>
                <w:sz w:val="24"/>
                <w:highlight w:val="none"/>
                <w:lang w:val="zh-CN"/>
              </w:rPr>
              <w:t>根据《国家危险废物名录》(20</w:t>
            </w:r>
            <w:r>
              <w:rPr>
                <w:rFonts w:hint="eastAsia"/>
                <w:color w:val="auto"/>
                <w:spacing w:val="8"/>
                <w:kern w:val="24"/>
                <w:sz w:val="24"/>
                <w:highlight w:val="none"/>
                <w:lang w:val="en-US" w:eastAsia="zh-CN"/>
              </w:rPr>
              <w:t>21</w:t>
            </w:r>
            <w:r>
              <w:rPr>
                <w:color w:val="auto"/>
                <w:spacing w:val="8"/>
                <w:kern w:val="24"/>
                <w:sz w:val="24"/>
                <w:highlight w:val="none"/>
                <w:lang w:val="zh-CN"/>
              </w:rPr>
              <w:t>年)与《危险废物鉴别标准》，判定本项目固体废物分为一般固废和危险废物。</w:t>
            </w:r>
          </w:p>
          <w:p>
            <w:pPr>
              <w:spacing w:line="480" w:lineRule="exact"/>
              <w:ind w:firstLine="514" w:firstLineChars="200"/>
              <w:jc w:val="left"/>
              <w:rPr>
                <w:b/>
                <w:color w:val="auto"/>
                <w:spacing w:val="8"/>
                <w:kern w:val="24"/>
                <w:sz w:val="24"/>
                <w:highlight w:val="none"/>
                <w:lang w:val="zh-CN"/>
              </w:rPr>
            </w:pPr>
            <w:r>
              <w:rPr>
                <w:rFonts w:hint="eastAsia" w:ascii="宋体" w:hAnsi="宋体" w:cs="宋体"/>
                <w:b/>
                <w:color w:val="auto"/>
                <w:spacing w:val="8"/>
                <w:kern w:val="24"/>
                <w:sz w:val="24"/>
                <w:highlight w:val="none"/>
                <w:lang w:val="zh-CN"/>
              </w:rPr>
              <w:t>①</w:t>
            </w:r>
            <w:r>
              <w:rPr>
                <w:b/>
                <w:color w:val="auto"/>
                <w:spacing w:val="8"/>
                <w:kern w:val="24"/>
                <w:sz w:val="24"/>
                <w:highlight w:val="none"/>
                <w:lang w:val="zh-CN"/>
              </w:rPr>
              <w:t>一般固体废物：</w:t>
            </w:r>
          </w:p>
          <w:p>
            <w:pPr>
              <w:pStyle w:val="52"/>
              <w:ind w:firstLine="482"/>
              <w:jc w:val="center"/>
              <w:rPr>
                <w:b/>
                <w:bCs/>
                <w:color w:val="auto"/>
                <w:szCs w:val="24"/>
                <w:highlight w:val="none"/>
              </w:rPr>
            </w:pPr>
            <w:r>
              <w:rPr>
                <w:b/>
                <w:bCs/>
                <w:color w:val="auto"/>
                <w:szCs w:val="24"/>
                <w:highlight w:val="none"/>
              </w:rPr>
              <w:t>表</w:t>
            </w:r>
            <w:r>
              <w:rPr>
                <w:rFonts w:hint="eastAsia"/>
                <w:b/>
                <w:bCs/>
                <w:color w:val="auto"/>
                <w:szCs w:val="24"/>
                <w:highlight w:val="none"/>
                <w:lang w:val="en-US" w:eastAsia="zh-CN"/>
              </w:rPr>
              <w:t>33</w:t>
            </w:r>
            <w:r>
              <w:rPr>
                <w:b/>
                <w:bCs/>
                <w:color w:val="auto"/>
                <w:szCs w:val="24"/>
                <w:highlight w:val="none"/>
              </w:rPr>
              <w:t xml:space="preserve">   </w:t>
            </w:r>
            <w:r>
              <w:rPr>
                <w:rFonts w:hint="eastAsia"/>
                <w:b/>
                <w:bCs/>
                <w:color w:val="auto"/>
                <w:szCs w:val="24"/>
                <w:highlight w:val="none"/>
                <w:lang w:eastAsia="zh-CN"/>
              </w:rPr>
              <w:t>技改项目</w:t>
            </w:r>
            <w:r>
              <w:rPr>
                <w:b/>
                <w:bCs/>
                <w:color w:val="auto"/>
                <w:szCs w:val="24"/>
                <w:highlight w:val="none"/>
              </w:rPr>
              <w:t>一般固体废物产生量及综合利用情况表</w:t>
            </w:r>
          </w:p>
          <w:tbl>
            <w:tblPr>
              <w:tblStyle w:val="3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4"/>
              <w:gridCol w:w="625"/>
              <w:gridCol w:w="625"/>
              <w:gridCol w:w="638"/>
              <w:gridCol w:w="815"/>
              <w:gridCol w:w="815"/>
              <w:gridCol w:w="2721"/>
              <w:gridCol w:w="846"/>
              <w:gridCol w:w="683"/>
              <w:gridCol w:w="6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dxa"/>
                  <w:vMerge w:val="restart"/>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装置</w:t>
                  </w:r>
                </w:p>
              </w:tc>
              <w:tc>
                <w:tcPr>
                  <w:tcW w:w="625" w:type="dxa"/>
                  <w:vMerge w:val="restart"/>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固废名称</w:t>
                  </w:r>
                </w:p>
              </w:tc>
              <w:tc>
                <w:tcPr>
                  <w:tcW w:w="625" w:type="dxa"/>
                  <w:vMerge w:val="restart"/>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属性</w:t>
                  </w:r>
                </w:p>
              </w:tc>
              <w:tc>
                <w:tcPr>
                  <w:tcW w:w="2268" w:type="dxa"/>
                  <w:gridSpan w:val="3"/>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产生情况</w:t>
                  </w:r>
                </w:p>
              </w:tc>
              <w:tc>
                <w:tcPr>
                  <w:tcW w:w="4250" w:type="dxa"/>
                  <w:gridSpan w:val="3"/>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处置情况</w:t>
                  </w:r>
                </w:p>
              </w:tc>
              <w:tc>
                <w:tcPr>
                  <w:tcW w:w="683" w:type="dxa"/>
                  <w:vMerge w:val="restart"/>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最终去向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dxa"/>
                  <w:vMerge w:val="continue"/>
                  <w:vAlign w:val="center"/>
                </w:tcPr>
                <w:p>
                  <w:pPr>
                    <w:overflowPunct w:val="0"/>
                    <w:autoSpaceDE w:val="0"/>
                    <w:autoSpaceDN w:val="0"/>
                    <w:adjustRightInd w:val="0"/>
                    <w:snapToGrid w:val="0"/>
                    <w:spacing w:line="0" w:lineRule="atLeast"/>
                    <w:jc w:val="center"/>
                    <w:rPr>
                      <w:color w:val="auto"/>
                      <w:spacing w:val="6"/>
                      <w:szCs w:val="21"/>
                      <w:highlight w:val="none"/>
                    </w:rPr>
                  </w:pPr>
                </w:p>
              </w:tc>
              <w:tc>
                <w:tcPr>
                  <w:tcW w:w="625" w:type="dxa"/>
                  <w:vMerge w:val="continue"/>
                  <w:vAlign w:val="center"/>
                </w:tcPr>
                <w:p>
                  <w:pPr>
                    <w:overflowPunct w:val="0"/>
                    <w:autoSpaceDE w:val="0"/>
                    <w:autoSpaceDN w:val="0"/>
                    <w:adjustRightInd w:val="0"/>
                    <w:snapToGrid w:val="0"/>
                    <w:spacing w:line="0" w:lineRule="atLeast"/>
                    <w:jc w:val="center"/>
                    <w:rPr>
                      <w:color w:val="auto"/>
                      <w:spacing w:val="6"/>
                      <w:szCs w:val="21"/>
                      <w:highlight w:val="none"/>
                    </w:rPr>
                  </w:pPr>
                </w:p>
              </w:tc>
              <w:tc>
                <w:tcPr>
                  <w:tcW w:w="625" w:type="dxa"/>
                  <w:vMerge w:val="continue"/>
                  <w:vAlign w:val="center"/>
                </w:tcPr>
                <w:p>
                  <w:pPr>
                    <w:overflowPunct w:val="0"/>
                    <w:autoSpaceDE w:val="0"/>
                    <w:autoSpaceDN w:val="0"/>
                    <w:adjustRightInd w:val="0"/>
                    <w:snapToGrid w:val="0"/>
                    <w:spacing w:line="0" w:lineRule="atLeast"/>
                    <w:jc w:val="center"/>
                    <w:rPr>
                      <w:color w:val="auto"/>
                      <w:spacing w:val="6"/>
                      <w:szCs w:val="21"/>
                      <w:highlight w:val="none"/>
                    </w:rPr>
                  </w:pPr>
                </w:p>
              </w:tc>
              <w:tc>
                <w:tcPr>
                  <w:tcW w:w="638" w:type="dxa"/>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核算方法</w:t>
                  </w:r>
                </w:p>
              </w:tc>
              <w:tc>
                <w:tcPr>
                  <w:tcW w:w="815" w:type="dxa"/>
                  <w:vAlign w:val="center"/>
                </w:tcPr>
                <w:p>
                  <w:pPr>
                    <w:overflowPunct w:val="0"/>
                    <w:autoSpaceDE w:val="0"/>
                    <w:autoSpaceDN w:val="0"/>
                    <w:adjustRightInd w:val="0"/>
                    <w:snapToGrid w:val="0"/>
                    <w:spacing w:line="0" w:lineRule="atLeast"/>
                    <w:jc w:val="center"/>
                    <w:rPr>
                      <w:color w:val="auto"/>
                      <w:spacing w:val="6"/>
                      <w:szCs w:val="21"/>
                      <w:highlight w:val="none"/>
                    </w:rPr>
                  </w:pPr>
                  <w:r>
                    <w:rPr>
                      <w:rFonts w:hint="eastAsia"/>
                      <w:color w:val="auto"/>
                      <w:spacing w:val="6"/>
                      <w:szCs w:val="21"/>
                      <w:highlight w:val="none"/>
                      <w:lang w:eastAsia="zh-CN"/>
                    </w:rPr>
                    <w:t>现有工程</w:t>
                  </w:r>
                  <w:r>
                    <w:rPr>
                      <w:color w:val="auto"/>
                      <w:spacing w:val="6"/>
                      <w:szCs w:val="21"/>
                      <w:highlight w:val="none"/>
                    </w:rPr>
                    <w:t>产生量t/a</w:t>
                  </w:r>
                </w:p>
              </w:tc>
              <w:tc>
                <w:tcPr>
                  <w:tcW w:w="815" w:type="dxa"/>
                  <w:vAlign w:val="center"/>
                </w:tcPr>
                <w:p>
                  <w:pPr>
                    <w:overflowPunct w:val="0"/>
                    <w:autoSpaceDE w:val="0"/>
                    <w:autoSpaceDN w:val="0"/>
                    <w:adjustRightInd w:val="0"/>
                    <w:snapToGrid w:val="0"/>
                    <w:spacing w:line="0" w:lineRule="atLeast"/>
                    <w:jc w:val="center"/>
                    <w:rPr>
                      <w:rFonts w:hint="eastAsia"/>
                      <w:color w:val="auto"/>
                      <w:spacing w:val="6"/>
                      <w:szCs w:val="21"/>
                      <w:highlight w:val="none"/>
                      <w:lang w:eastAsia="zh-CN"/>
                    </w:rPr>
                  </w:pPr>
                  <w:r>
                    <w:rPr>
                      <w:rFonts w:hint="eastAsia"/>
                      <w:color w:val="auto"/>
                      <w:spacing w:val="6"/>
                      <w:szCs w:val="21"/>
                      <w:highlight w:val="none"/>
                      <w:lang w:eastAsia="zh-CN"/>
                    </w:rPr>
                    <w:t>技改项目</w:t>
                  </w:r>
                  <w:r>
                    <w:rPr>
                      <w:color w:val="auto"/>
                      <w:spacing w:val="6"/>
                      <w:szCs w:val="21"/>
                      <w:highlight w:val="none"/>
                    </w:rPr>
                    <w:t>产生量t/a</w:t>
                  </w:r>
                </w:p>
              </w:tc>
              <w:tc>
                <w:tcPr>
                  <w:tcW w:w="2721" w:type="dxa"/>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工艺</w:t>
                  </w:r>
                </w:p>
              </w:tc>
              <w:tc>
                <w:tcPr>
                  <w:tcW w:w="846" w:type="dxa"/>
                  <w:vAlign w:val="center"/>
                </w:tcPr>
                <w:p>
                  <w:pPr>
                    <w:overflowPunct w:val="0"/>
                    <w:autoSpaceDE w:val="0"/>
                    <w:autoSpaceDN w:val="0"/>
                    <w:adjustRightInd w:val="0"/>
                    <w:snapToGrid w:val="0"/>
                    <w:spacing w:line="0" w:lineRule="atLeast"/>
                    <w:jc w:val="center"/>
                    <w:rPr>
                      <w:color w:val="auto"/>
                      <w:spacing w:val="6"/>
                      <w:szCs w:val="21"/>
                      <w:highlight w:val="none"/>
                    </w:rPr>
                  </w:pPr>
                  <w:r>
                    <w:rPr>
                      <w:rFonts w:hint="eastAsia"/>
                      <w:color w:val="auto"/>
                      <w:spacing w:val="6"/>
                      <w:szCs w:val="21"/>
                      <w:highlight w:val="none"/>
                      <w:lang w:eastAsia="zh-CN"/>
                    </w:rPr>
                    <w:t>现有工程</w:t>
                  </w:r>
                  <w:r>
                    <w:rPr>
                      <w:color w:val="auto"/>
                      <w:spacing w:val="6"/>
                      <w:szCs w:val="21"/>
                      <w:highlight w:val="none"/>
                    </w:rPr>
                    <w:t>处置量t/a</w:t>
                  </w:r>
                </w:p>
              </w:tc>
              <w:tc>
                <w:tcPr>
                  <w:tcW w:w="683" w:type="dxa"/>
                  <w:vAlign w:val="center"/>
                </w:tcPr>
                <w:p>
                  <w:pPr>
                    <w:overflowPunct w:val="0"/>
                    <w:autoSpaceDE w:val="0"/>
                    <w:autoSpaceDN w:val="0"/>
                    <w:adjustRightInd w:val="0"/>
                    <w:snapToGrid w:val="0"/>
                    <w:spacing w:line="0" w:lineRule="atLeast"/>
                    <w:jc w:val="center"/>
                    <w:rPr>
                      <w:color w:val="auto"/>
                      <w:spacing w:val="6"/>
                      <w:szCs w:val="21"/>
                      <w:highlight w:val="none"/>
                    </w:rPr>
                  </w:pPr>
                  <w:r>
                    <w:rPr>
                      <w:rFonts w:hint="eastAsia"/>
                      <w:color w:val="auto"/>
                      <w:spacing w:val="6"/>
                      <w:szCs w:val="21"/>
                      <w:highlight w:val="none"/>
                      <w:lang w:eastAsia="zh-CN"/>
                    </w:rPr>
                    <w:t>技改项目</w:t>
                  </w:r>
                  <w:r>
                    <w:rPr>
                      <w:color w:val="auto"/>
                      <w:spacing w:val="6"/>
                      <w:szCs w:val="21"/>
                      <w:highlight w:val="none"/>
                    </w:rPr>
                    <w:t>处置量t/a</w:t>
                  </w:r>
                </w:p>
              </w:tc>
              <w:tc>
                <w:tcPr>
                  <w:tcW w:w="683" w:type="dxa"/>
                  <w:vMerge w:val="continue"/>
                  <w:vAlign w:val="center"/>
                </w:tcPr>
                <w:p>
                  <w:pPr>
                    <w:overflowPunct w:val="0"/>
                    <w:autoSpaceDE w:val="0"/>
                    <w:autoSpaceDN w:val="0"/>
                    <w:adjustRightInd w:val="0"/>
                    <w:snapToGrid w:val="0"/>
                    <w:spacing w:line="0" w:lineRule="atLeast"/>
                    <w:jc w:val="center"/>
                    <w:rPr>
                      <w:color w:val="auto"/>
                      <w:spacing w:val="6"/>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下料、</w:t>
                  </w:r>
                  <w:r>
                    <w:rPr>
                      <w:rFonts w:hint="eastAsia"/>
                      <w:color w:val="auto"/>
                      <w:szCs w:val="21"/>
                      <w:highlight w:val="none"/>
                      <w:lang w:eastAsia="zh-CN"/>
                    </w:rPr>
                    <w:t>机加工</w:t>
                  </w:r>
                </w:p>
              </w:tc>
              <w:tc>
                <w:tcPr>
                  <w:tcW w:w="625"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下脚料</w:t>
                  </w:r>
                </w:p>
              </w:tc>
              <w:tc>
                <w:tcPr>
                  <w:tcW w:w="625" w:type="dxa"/>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一般固废</w:t>
                  </w:r>
                </w:p>
              </w:tc>
              <w:tc>
                <w:tcPr>
                  <w:tcW w:w="638" w:type="dxa"/>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物料衡算法</w:t>
                  </w:r>
                </w:p>
              </w:tc>
              <w:tc>
                <w:tcPr>
                  <w:tcW w:w="815" w:type="dxa"/>
                  <w:vAlign w:val="center"/>
                </w:tcPr>
                <w:p>
                  <w:pPr>
                    <w:overflowPunct w:val="0"/>
                    <w:autoSpaceDE w:val="0"/>
                    <w:autoSpaceDN w:val="0"/>
                    <w:adjustRightInd w:val="0"/>
                    <w:snapToGrid w:val="0"/>
                    <w:spacing w:line="0" w:lineRule="atLeast"/>
                    <w:jc w:val="center"/>
                    <w:rPr>
                      <w:rFonts w:hint="default" w:eastAsia="宋体"/>
                      <w:color w:val="auto"/>
                      <w:spacing w:val="6"/>
                      <w:szCs w:val="21"/>
                      <w:highlight w:val="none"/>
                      <w:lang w:val="en-US" w:eastAsia="zh-CN"/>
                    </w:rPr>
                  </w:pPr>
                  <w:r>
                    <w:rPr>
                      <w:rFonts w:hint="eastAsia"/>
                      <w:color w:val="auto"/>
                      <w:spacing w:val="6"/>
                      <w:szCs w:val="21"/>
                      <w:highlight w:val="none"/>
                      <w:lang w:val="en-US" w:eastAsia="zh-CN"/>
                    </w:rPr>
                    <w:t>4.0</w:t>
                  </w:r>
                </w:p>
              </w:tc>
              <w:tc>
                <w:tcPr>
                  <w:tcW w:w="815" w:type="dxa"/>
                  <w:vAlign w:val="center"/>
                </w:tcPr>
                <w:p>
                  <w:pPr>
                    <w:overflowPunct w:val="0"/>
                    <w:autoSpaceDE w:val="0"/>
                    <w:autoSpaceDN w:val="0"/>
                    <w:adjustRightInd w:val="0"/>
                    <w:snapToGrid w:val="0"/>
                    <w:spacing w:line="0" w:lineRule="atLeast"/>
                    <w:jc w:val="center"/>
                    <w:rPr>
                      <w:rFonts w:hint="default"/>
                      <w:color w:val="auto"/>
                      <w:spacing w:val="6"/>
                      <w:szCs w:val="21"/>
                      <w:highlight w:val="none"/>
                      <w:lang w:val="en-US" w:eastAsia="zh-CN"/>
                    </w:rPr>
                  </w:pPr>
                  <w:r>
                    <w:rPr>
                      <w:rFonts w:hint="eastAsia"/>
                      <w:color w:val="auto"/>
                      <w:spacing w:val="6"/>
                      <w:szCs w:val="21"/>
                      <w:highlight w:val="none"/>
                      <w:lang w:val="en-US" w:eastAsia="zh-CN"/>
                    </w:rPr>
                    <w:t>2.0</w:t>
                  </w:r>
                </w:p>
              </w:tc>
              <w:tc>
                <w:tcPr>
                  <w:tcW w:w="2721" w:type="dxa"/>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集中收集后外售</w:t>
                  </w:r>
                </w:p>
              </w:tc>
              <w:tc>
                <w:tcPr>
                  <w:tcW w:w="846" w:type="dxa"/>
                  <w:vAlign w:val="center"/>
                </w:tcPr>
                <w:p>
                  <w:pPr>
                    <w:overflowPunct w:val="0"/>
                    <w:autoSpaceDE w:val="0"/>
                    <w:autoSpaceDN w:val="0"/>
                    <w:adjustRightInd w:val="0"/>
                    <w:snapToGrid w:val="0"/>
                    <w:spacing w:line="0" w:lineRule="atLeast"/>
                    <w:jc w:val="center"/>
                    <w:rPr>
                      <w:rFonts w:hint="default" w:eastAsia="宋体"/>
                      <w:color w:val="auto"/>
                      <w:spacing w:val="6"/>
                      <w:szCs w:val="21"/>
                      <w:highlight w:val="none"/>
                      <w:lang w:val="en-US" w:eastAsia="zh-CN"/>
                    </w:rPr>
                  </w:pPr>
                  <w:r>
                    <w:rPr>
                      <w:rFonts w:hint="eastAsia"/>
                      <w:color w:val="auto"/>
                      <w:spacing w:val="6"/>
                      <w:szCs w:val="21"/>
                      <w:highlight w:val="none"/>
                      <w:lang w:val="en-US" w:eastAsia="zh-CN"/>
                    </w:rPr>
                    <w:t>4.0</w:t>
                  </w:r>
                </w:p>
              </w:tc>
              <w:tc>
                <w:tcPr>
                  <w:tcW w:w="683" w:type="dxa"/>
                  <w:vAlign w:val="center"/>
                </w:tcPr>
                <w:p>
                  <w:pPr>
                    <w:overflowPunct w:val="0"/>
                    <w:autoSpaceDE w:val="0"/>
                    <w:autoSpaceDN w:val="0"/>
                    <w:adjustRightInd w:val="0"/>
                    <w:snapToGrid w:val="0"/>
                    <w:spacing w:line="0" w:lineRule="atLeast"/>
                    <w:jc w:val="center"/>
                    <w:rPr>
                      <w:rFonts w:hint="default"/>
                      <w:color w:val="auto"/>
                      <w:spacing w:val="6"/>
                      <w:szCs w:val="21"/>
                      <w:highlight w:val="none"/>
                      <w:lang w:val="en-US" w:eastAsia="zh-CN"/>
                    </w:rPr>
                  </w:pPr>
                  <w:r>
                    <w:rPr>
                      <w:rFonts w:hint="eastAsia"/>
                      <w:color w:val="auto"/>
                      <w:spacing w:val="6"/>
                      <w:szCs w:val="21"/>
                      <w:highlight w:val="none"/>
                      <w:lang w:val="en-US" w:eastAsia="zh-CN"/>
                    </w:rPr>
                    <w:t>2.0</w:t>
                  </w:r>
                </w:p>
              </w:tc>
              <w:tc>
                <w:tcPr>
                  <w:tcW w:w="683" w:type="dxa"/>
                  <w:vAlign w:val="center"/>
                </w:tcPr>
                <w:p>
                  <w:pPr>
                    <w:overflowPunct w:val="0"/>
                    <w:autoSpaceDE w:val="0"/>
                    <w:autoSpaceDN w:val="0"/>
                    <w:adjustRightInd w:val="0"/>
                    <w:snapToGrid w:val="0"/>
                    <w:spacing w:line="0" w:lineRule="atLeast"/>
                    <w:jc w:val="center"/>
                    <w:rPr>
                      <w:color w:val="auto"/>
                      <w:spacing w:val="6"/>
                      <w:szCs w:val="21"/>
                      <w:highlight w:val="none"/>
                    </w:rPr>
                  </w:pPr>
                  <w:r>
                    <w:rPr>
                      <w:rFonts w:hint="eastAsia"/>
                      <w:color w:val="auto"/>
                      <w:spacing w:val="6"/>
                      <w:szCs w:val="21"/>
                      <w:highlight w:val="none"/>
                      <w:lang w:eastAsia="zh-CN"/>
                    </w:rPr>
                    <w:t>外售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dxa"/>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除尘器</w:t>
                  </w:r>
                </w:p>
              </w:tc>
              <w:tc>
                <w:tcPr>
                  <w:tcW w:w="625" w:type="dxa"/>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除尘灰</w:t>
                  </w:r>
                </w:p>
              </w:tc>
              <w:tc>
                <w:tcPr>
                  <w:tcW w:w="625" w:type="dxa"/>
                  <w:vAlign w:val="center"/>
                </w:tcPr>
                <w:p>
                  <w:pPr>
                    <w:overflowPunct w:val="0"/>
                    <w:autoSpaceDE w:val="0"/>
                    <w:autoSpaceDN w:val="0"/>
                    <w:adjustRightInd w:val="0"/>
                    <w:snapToGrid w:val="0"/>
                    <w:spacing w:line="0" w:lineRule="atLeast"/>
                    <w:jc w:val="center"/>
                    <w:rPr>
                      <w:rFonts w:ascii="Times New Roman" w:hAnsi="Times New Roman" w:eastAsia="宋体" w:cs="Times New Roman"/>
                      <w:color w:val="auto"/>
                      <w:spacing w:val="6"/>
                      <w:kern w:val="2"/>
                      <w:sz w:val="21"/>
                      <w:szCs w:val="21"/>
                      <w:highlight w:val="none"/>
                      <w:lang w:val="en-US" w:eastAsia="zh-CN" w:bidi="ar-SA"/>
                    </w:rPr>
                  </w:pPr>
                  <w:r>
                    <w:rPr>
                      <w:color w:val="auto"/>
                      <w:spacing w:val="6"/>
                      <w:szCs w:val="21"/>
                      <w:highlight w:val="none"/>
                    </w:rPr>
                    <w:t>一般固废</w:t>
                  </w:r>
                </w:p>
              </w:tc>
              <w:tc>
                <w:tcPr>
                  <w:tcW w:w="638" w:type="dxa"/>
                  <w:vAlign w:val="center"/>
                </w:tcPr>
                <w:p>
                  <w:pPr>
                    <w:overflowPunct w:val="0"/>
                    <w:autoSpaceDE w:val="0"/>
                    <w:autoSpaceDN w:val="0"/>
                    <w:adjustRightInd w:val="0"/>
                    <w:snapToGrid w:val="0"/>
                    <w:spacing w:line="0" w:lineRule="atLeast"/>
                    <w:jc w:val="center"/>
                    <w:rPr>
                      <w:rFonts w:ascii="Times New Roman" w:hAnsi="Times New Roman" w:eastAsia="宋体" w:cs="Times New Roman"/>
                      <w:color w:val="auto"/>
                      <w:spacing w:val="6"/>
                      <w:kern w:val="2"/>
                      <w:sz w:val="21"/>
                      <w:szCs w:val="21"/>
                      <w:highlight w:val="none"/>
                      <w:lang w:val="en-US" w:eastAsia="zh-CN" w:bidi="ar-SA"/>
                    </w:rPr>
                  </w:pPr>
                  <w:r>
                    <w:rPr>
                      <w:color w:val="auto"/>
                      <w:spacing w:val="6"/>
                      <w:szCs w:val="21"/>
                      <w:highlight w:val="none"/>
                    </w:rPr>
                    <w:t>物料衡算法</w:t>
                  </w:r>
                </w:p>
              </w:tc>
              <w:tc>
                <w:tcPr>
                  <w:tcW w:w="815" w:type="dxa"/>
                  <w:vAlign w:val="center"/>
                </w:tcPr>
                <w:p>
                  <w:pPr>
                    <w:overflowPunct w:val="0"/>
                    <w:autoSpaceDE w:val="0"/>
                    <w:autoSpaceDN w:val="0"/>
                    <w:adjustRightInd w:val="0"/>
                    <w:snapToGrid w:val="0"/>
                    <w:spacing w:line="0" w:lineRule="atLeast"/>
                    <w:jc w:val="center"/>
                    <w:rPr>
                      <w:rFonts w:hint="default"/>
                      <w:color w:val="auto"/>
                      <w:spacing w:val="6"/>
                      <w:szCs w:val="21"/>
                      <w:highlight w:val="none"/>
                      <w:lang w:val="en-US" w:eastAsia="zh-CN"/>
                    </w:rPr>
                  </w:pPr>
                  <w:r>
                    <w:rPr>
                      <w:rFonts w:hint="eastAsia"/>
                      <w:color w:val="auto"/>
                      <w:spacing w:val="6"/>
                      <w:szCs w:val="21"/>
                      <w:highlight w:val="none"/>
                      <w:lang w:val="en-US" w:eastAsia="zh-CN"/>
                    </w:rPr>
                    <w:t>0</w:t>
                  </w:r>
                </w:p>
              </w:tc>
              <w:tc>
                <w:tcPr>
                  <w:tcW w:w="815" w:type="dxa"/>
                  <w:vAlign w:val="center"/>
                </w:tcPr>
                <w:p>
                  <w:pPr>
                    <w:overflowPunct w:val="0"/>
                    <w:autoSpaceDE w:val="0"/>
                    <w:autoSpaceDN w:val="0"/>
                    <w:adjustRightInd w:val="0"/>
                    <w:snapToGrid w:val="0"/>
                    <w:spacing w:line="0" w:lineRule="atLeast"/>
                    <w:jc w:val="center"/>
                    <w:rPr>
                      <w:rFonts w:hint="default"/>
                      <w:color w:val="auto"/>
                      <w:spacing w:val="6"/>
                      <w:szCs w:val="21"/>
                      <w:highlight w:val="none"/>
                      <w:lang w:val="en-US" w:eastAsia="zh-CN"/>
                    </w:rPr>
                  </w:pPr>
                  <w:r>
                    <w:rPr>
                      <w:rFonts w:hint="eastAsia"/>
                      <w:color w:val="auto"/>
                      <w:spacing w:val="6"/>
                      <w:szCs w:val="21"/>
                      <w:highlight w:val="none"/>
                      <w:lang w:val="en-US" w:eastAsia="zh-CN"/>
                    </w:rPr>
                    <w:t>0.367</w:t>
                  </w:r>
                </w:p>
              </w:tc>
              <w:tc>
                <w:tcPr>
                  <w:tcW w:w="2721" w:type="dxa"/>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集中收集后外售</w:t>
                  </w:r>
                </w:p>
              </w:tc>
              <w:tc>
                <w:tcPr>
                  <w:tcW w:w="846" w:type="dxa"/>
                  <w:vAlign w:val="center"/>
                </w:tcPr>
                <w:p>
                  <w:pPr>
                    <w:overflowPunct w:val="0"/>
                    <w:autoSpaceDE w:val="0"/>
                    <w:autoSpaceDN w:val="0"/>
                    <w:adjustRightInd w:val="0"/>
                    <w:snapToGrid w:val="0"/>
                    <w:spacing w:line="0" w:lineRule="atLeast"/>
                    <w:jc w:val="center"/>
                    <w:rPr>
                      <w:rFonts w:hint="eastAsia" w:ascii="Times New Roman" w:hAnsi="Times New Roman" w:eastAsia="宋体" w:cs="Times New Roman"/>
                      <w:color w:val="auto"/>
                      <w:spacing w:val="6"/>
                      <w:kern w:val="2"/>
                      <w:sz w:val="21"/>
                      <w:szCs w:val="21"/>
                      <w:highlight w:val="none"/>
                      <w:lang w:val="en-US" w:eastAsia="zh-CN" w:bidi="ar-SA"/>
                    </w:rPr>
                  </w:pPr>
                  <w:r>
                    <w:rPr>
                      <w:rFonts w:hint="eastAsia"/>
                      <w:color w:val="auto"/>
                      <w:spacing w:val="6"/>
                      <w:szCs w:val="21"/>
                      <w:highlight w:val="none"/>
                      <w:lang w:val="en-US" w:eastAsia="zh-CN"/>
                    </w:rPr>
                    <w:t>0</w:t>
                  </w:r>
                </w:p>
              </w:tc>
              <w:tc>
                <w:tcPr>
                  <w:tcW w:w="683" w:type="dxa"/>
                  <w:vAlign w:val="center"/>
                </w:tcPr>
                <w:p>
                  <w:pPr>
                    <w:overflowPunct w:val="0"/>
                    <w:autoSpaceDE w:val="0"/>
                    <w:autoSpaceDN w:val="0"/>
                    <w:adjustRightInd w:val="0"/>
                    <w:snapToGrid w:val="0"/>
                    <w:spacing w:line="0" w:lineRule="atLeast"/>
                    <w:jc w:val="center"/>
                    <w:rPr>
                      <w:rFonts w:hint="default" w:ascii="Times New Roman" w:hAnsi="Times New Roman" w:eastAsia="宋体" w:cs="Times New Roman"/>
                      <w:color w:val="auto"/>
                      <w:spacing w:val="6"/>
                      <w:kern w:val="2"/>
                      <w:sz w:val="21"/>
                      <w:szCs w:val="21"/>
                      <w:highlight w:val="none"/>
                      <w:lang w:val="en-US" w:eastAsia="zh-CN" w:bidi="ar-SA"/>
                    </w:rPr>
                  </w:pPr>
                  <w:r>
                    <w:rPr>
                      <w:rFonts w:hint="eastAsia"/>
                      <w:color w:val="auto"/>
                      <w:spacing w:val="6"/>
                      <w:szCs w:val="21"/>
                      <w:highlight w:val="none"/>
                      <w:lang w:val="en-US" w:eastAsia="zh-CN"/>
                    </w:rPr>
                    <w:t>0.367</w:t>
                  </w:r>
                </w:p>
              </w:tc>
              <w:tc>
                <w:tcPr>
                  <w:tcW w:w="683" w:type="dxa"/>
                  <w:vAlign w:val="center"/>
                </w:tcPr>
                <w:p>
                  <w:pPr>
                    <w:overflowPunct w:val="0"/>
                    <w:autoSpaceDE w:val="0"/>
                    <w:autoSpaceDN w:val="0"/>
                    <w:adjustRightInd w:val="0"/>
                    <w:snapToGrid w:val="0"/>
                    <w:spacing w:line="0" w:lineRule="atLeast"/>
                    <w:jc w:val="center"/>
                    <w:rPr>
                      <w:rFonts w:hint="eastAsia" w:ascii="Times New Roman" w:hAnsi="Times New Roman" w:eastAsia="宋体" w:cs="Times New Roman"/>
                      <w:color w:val="auto"/>
                      <w:spacing w:val="6"/>
                      <w:kern w:val="2"/>
                      <w:sz w:val="21"/>
                      <w:szCs w:val="21"/>
                      <w:highlight w:val="none"/>
                      <w:lang w:val="en-US" w:eastAsia="zh-CN" w:bidi="ar-SA"/>
                    </w:rPr>
                  </w:pPr>
                  <w:r>
                    <w:rPr>
                      <w:rFonts w:hint="eastAsia"/>
                      <w:color w:val="auto"/>
                      <w:spacing w:val="6"/>
                      <w:szCs w:val="21"/>
                      <w:highlight w:val="none"/>
                      <w:lang w:eastAsia="zh-CN"/>
                    </w:rPr>
                    <w:t>外售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4"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锯床、</w:t>
                  </w:r>
                  <w:r>
                    <w:rPr>
                      <w:color w:val="auto"/>
                      <w:szCs w:val="21"/>
                      <w:highlight w:val="none"/>
                    </w:rPr>
                    <w:t>铣床</w:t>
                  </w:r>
                </w:p>
              </w:tc>
              <w:tc>
                <w:tcPr>
                  <w:tcW w:w="625"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金属屑</w:t>
                  </w:r>
                </w:p>
              </w:tc>
              <w:tc>
                <w:tcPr>
                  <w:tcW w:w="625" w:type="dxa"/>
                  <w:vAlign w:val="center"/>
                </w:tcPr>
                <w:p>
                  <w:pPr>
                    <w:overflowPunct w:val="0"/>
                    <w:autoSpaceDE w:val="0"/>
                    <w:autoSpaceDN w:val="0"/>
                    <w:adjustRightInd w:val="0"/>
                    <w:snapToGrid w:val="0"/>
                    <w:spacing w:line="0" w:lineRule="atLeast"/>
                    <w:jc w:val="center"/>
                    <w:rPr>
                      <w:rFonts w:ascii="Times New Roman" w:hAnsi="Times New Roman" w:eastAsia="宋体" w:cs="Times New Roman"/>
                      <w:color w:val="auto"/>
                      <w:spacing w:val="6"/>
                      <w:kern w:val="2"/>
                      <w:sz w:val="21"/>
                      <w:szCs w:val="21"/>
                      <w:highlight w:val="none"/>
                      <w:lang w:val="en-US" w:eastAsia="zh-CN" w:bidi="ar-SA"/>
                    </w:rPr>
                  </w:pPr>
                  <w:r>
                    <w:rPr>
                      <w:color w:val="auto"/>
                      <w:spacing w:val="6"/>
                      <w:szCs w:val="21"/>
                      <w:highlight w:val="none"/>
                    </w:rPr>
                    <w:t>一般固废</w:t>
                  </w:r>
                </w:p>
              </w:tc>
              <w:tc>
                <w:tcPr>
                  <w:tcW w:w="638" w:type="dxa"/>
                  <w:vAlign w:val="center"/>
                </w:tcPr>
                <w:p>
                  <w:pPr>
                    <w:overflowPunct w:val="0"/>
                    <w:autoSpaceDE w:val="0"/>
                    <w:autoSpaceDN w:val="0"/>
                    <w:adjustRightInd w:val="0"/>
                    <w:snapToGrid w:val="0"/>
                    <w:spacing w:line="0" w:lineRule="atLeast"/>
                    <w:jc w:val="center"/>
                    <w:rPr>
                      <w:rFonts w:ascii="Times New Roman" w:hAnsi="Times New Roman" w:eastAsia="宋体" w:cs="Times New Roman"/>
                      <w:color w:val="auto"/>
                      <w:spacing w:val="6"/>
                      <w:kern w:val="2"/>
                      <w:sz w:val="21"/>
                      <w:szCs w:val="21"/>
                      <w:highlight w:val="none"/>
                      <w:lang w:val="en-US" w:eastAsia="zh-CN" w:bidi="ar-SA"/>
                    </w:rPr>
                  </w:pPr>
                  <w:r>
                    <w:rPr>
                      <w:color w:val="auto"/>
                      <w:spacing w:val="6"/>
                      <w:szCs w:val="21"/>
                      <w:highlight w:val="none"/>
                    </w:rPr>
                    <w:t>物料衡算法</w:t>
                  </w:r>
                </w:p>
              </w:tc>
              <w:tc>
                <w:tcPr>
                  <w:tcW w:w="815" w:type="dxa"/>
                  <w:vAlign w:val="center"/>
                </w:tcPr>
                <w:p>
                  <w:pPr>
                    <w:overflowPunct w:val="0"/>
                    <w:autoSpaceDE w:val="0"/>
                    <w:autoSpaceDN w:val="0"/>
                    <w:adjustRightInd w:val="0"/>
                    <w:snapToGrid w:val="0"/>
                    <w:spacing w:line="0" w:lineRule="atLeast"/>
                    <w:jc w:val="center"/>
                    <w:rPr>
                      <w:rFonts w:hint="default"/>
                      <w:color w:val="auto"/>
                      <w:spacing w:val="6"/>
                      <w:szCs w:val="21"/>
                      <w:highlight w:val="none"/>
                      <w:lang w:val="en-US" w:eastAsia="zh-CN"/>
                    </w:rPr>
                  </w:pPr>
                  <w:r>
                    <w:rPr>
                      <w:rFonts w:hint="eastAsia"/>
                      <w:color w:val="auto"/>
                      <w:spacing w:val="6"/>
                      <w:szCs w:val="21"/>
                      <w:highlight w:val="none"/>
                      <w:lang w:val="en-US" w:eastAsia="zh-CN"/>
                    </w:rPr>
                    <w:t>1.5</w:t>
                  </w:r>
                </w:p>
              </w:tc>
              <w:tc>
                <w:tcPr>
                  <w:tcW w:w="815" w:type="dxa"/>
                  <w:vAlign w:val="center"/>
                </w:tcPr>
                <w:p>
                  <w:pPr>
                    <w:overflowPunct w:val="0"/>
                    <w:autoSpaceDE w:val="0"/>
                    <w:autoSpaceDN w:val="0"/>
                    <w:adjustRightInd w:val="0"/>
                    <w:snapToGrid w:val="0"/>
                    <w:spacing w:line="0" w:lineRule="atLeast"/>
                    <w:jc w:val="center"/>
                    <w:rPr>
                      <w:rFonts w:hint="default"/>
                      <w:color w:val="auto"/>
                      <w:spacing w:val="6"/>
                      <w:szCs w:val="21"/>
                      <w:highlight w:val="none"/>
                      <w:lang w:val="en-US" w:eastAsia="zh-CN"/>
                    </w:rPr>
                  </w:pPr>
                  <w:r>
                    <w:rPr>
                      <w:rFonts w:hint="eastAsia"/>
                      <w:color w:val="auto"/>
                      <w:spacing w:val="6"/>
                      <w:szCs w:val="21"/>
                      <w:highlight w:val="none"/>
                      <w:lang w:val="en-US" w:eastAsia="zh-CN"/>
                    </w:rPr>
                    <w:t>0.5</w:t>
                  </w:r>
                </w:p>
              </w:tc>
              <w:tc>
                <w:tcPr>
                  <w:tcW w:w="2721" w:type="dxa"/>
                  <w:vAlign w:val="center"/>
                </w:tcPr>
                <w:p>
                  <w:pPr>
                    <w:pStyle w:val="44"/>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含</w:t>
                  </w:r>
                  <w:r>
                    <w:rPr>
                      <w:rFonts w:hint="eastAsia"/>
                      <w:color w:val="auto"/>
                      <w:sz w:val="21"/>
                      <w:szCs w:val="21"/>
                      <w:highlight w:val="none"/>
                      <w:lang w:eastAsia="zh-CN"/>
                    </w:rPr>
                    <w:t>油</w:t>
                  </w:r>
                  <w:r>
                    <w:rPr>
                      <w:rFonts w:hint="eastAsia"/>
                      <w:color w:val="auto"/>
                      <w:sz w:val="21"/>
                      <w:szCs w:val="21"/>
                      <w:highlight w:val="none"/>
                    </w:rPr>
                    <w:t>金属屑单独收集后放入离心分离设备内，在离心力的作用下，将金属屑与</w:t>
                  </w:r>
                  <w:r>
                    <w:rPr>
                      <w:rFonts w:hint="eastAsia"/>
                      <w:color w:val="auto"/>
                      <w:sz w:val="21"/>
                      <w:szCs w:val="21"/>
                      <w:highlight w:val="none"/>
                      <w:lang w:eastAsia="zh-CN"/>
                    </w:rPr>
                    <w:t>废</w:t>
                  </w:r>
                  <w:r>
                    <w:rPr>
                      <w:rFonts w:hint="eastAsia"/>
                      <w:color w:val="auto"/>
                      <w:sz w:val="21"/>
                      <w:szCs w:val="21"/>
                      <w:highlight w:val="none"/>
                    </w:rPr>
                    <w:t>切削液分开，离</w:t>
                  </w:r>
                  <w:r>
                    <w:rPr>
                      <w:rFonts w:hint="eastAsia"/>
                      <w:color w:val="auto"/>
                      <w:sz w:val="21"/>
                      <w:szCs w:val="21"/>
                      <w:highlight w:val="none"/>
                      <w:lang w:eastAsia="zh-CN"/>
                    </w:rPr>
                    <w:t>心</w:t>
                  </w:r>
                  <w:r>
                    <w:rPr>
                      <w:rFonts w:hint="eastAsia"/>
                      <w:color w:val="auto"/>
                      <w:sz w:val="21"/>
                      <w:szCs w:val="21"/>
                      <w:highlight w:val="none"/>
                    </w:rPr>
                    <w:t>设备收集桶内收集的废切削液倒入回收桶内，加盖储存，可重新回用于生产，</w:t>
                  </w:r>
                  <w:r>
                    <w:rPr>
                      <w:rFonts w:hint="eastAsia"/>
                      <w:color w:val="auto"/>
                      <w:sz w:val="21"/>
                      <w:szCs w:val="21"/>
                      <w:highlight w:val="none"/>
                      <w:lang w:eastAsia="zh-CN"/>
                    </w:rPr>
                    <w:t>定期更换；</w:t>
                  </w:r>
                  <w:r>
                    <w:rPr>
                      <w:rFonts w:hint="eastAsia"/>
                      <w:color w:val="auto"/>
                      <w:sz w:val="21"/>
                      <w:szCs w:val="21"/>
                      <w:highlight w:val="none"/>
                    </w:rPr>
                    <w:t>离心后的废金属屑袋装收集储存不落地</w:t>
                  </w:r>
                  <w:r>
                    <w:rPr>
                      <w:rFonts w:hint="eastAsia"/>
                      <w:color w:val="auto"/>
                      <w:sz w:val="21"/>
                      <w:szCs w:val="21"/>
                      <w:highlight w:val="none"/>
                      <w:lang w:eastAsia="zh-CN"/>
                    </w:rPr>
                    <w:t>，集中收集后外售</w:t>
                  </w:r>
                </w:p>
              </w:tc>
              <w:tc>
                <w:tcPr>
                  <w:tcW w:w="846" w:type="dxa"/>
                  <w:vAlign w:val="center"/>
                </w:tcPr>
                <w:p>
                  <w:pPr>
                    <w:overflowPunct w:val="0"/>
                    <w:autoSpaceDE w:val="0"/>
                    <w:autoSpaceDN w:val="0"/>
                    <w:adjustRightInd w:val="0"/>
                    <w:snapToGrid w:val="0"/>
                    <w:spacing w:line="0" w:lineRule="atLeast"/>
                    <w:jc w:val="center"/>
                    <w:rPr>
                      <w:rFonts w:hint="default"/>
                      <w:color w:val="auto"/>
                      <w:spacing w:val="6"/>
                      <w:szCs w:val="21"/>
                      <w:highlight w:val="none"/>
                      <w:lang w:val="en-US" w:eastAsia="zh-CN"/>
                    </w:rPr>
                  </w:pPr>
                  <w:r>
                    <w:rPr>
                      <w:rFonts w:hint="eastAsia"/>
                      <w:color w:val="auto"/>
                      <w:spacing w:val="6"/>
                      <w:szCs w:val="21"/>
                      <w:highlight w:val="none"/>
                      <w:lang w:val="en-US" w:eastAsia="zh-CN"/>
                    </w:rPr>
                    <w:t>1.5</w:t>
                  </w:r>
                </w:p>
              </w:tc>
              <w:tc>
                <w:tcPr>
                  <w:tcW w:w="683" w:type="dxa"/>
                  <w:vAlign w:val="center"/>
                </w:tcPr>
                <w:p>
                  <w:pPr>
                    <w:overflowPunct w:val="0"/>
                    <w:autoSpaceDE w:val="0"/>
                    <w:autoSpaceDN w:val="0"/>
                    <w:adjustRightInd w:val="0"/>
                    <w:snapToGrid w:val="0"/>
                    <w:spacing w:line="0" w:lineRule="atLeast"/>
                    <w:jc w:val="center"/>
                    <w:rPr>
                      <w:rFonts w:hint="default"/>
                      <w:color w:val="auto"/>
                      <w:spacing w:val="6"/>
                      <w:szCs w:val="21"/>
                      <w:highlight w:val="none"/>
                      <w:lang w:val="en-US" w:eastAsia="zh-CN"/>
                    </w:rPr>
                  </w:pPr>
                  <w:r>
                    <w:rPr>
                      <w:rFonts w:hint="eastAsia"/>
                      <w:color w:val="auto"/>
                      <w:spacing w:val="6"/>
                      <w:szCs w:val="21"/>
                      <w:highlight w:val="none"/>
                      <w:lang w:val="en-US" w:eastAsia="zh-CN"/>
                    </w:rPr>
                    <w:t>0.5</w:t>
                  </w:r>
                </w:p>
              </w:tc>
              <w:tc>
                <w:tcPr>
                  <w:tcW w:w="683" w:type="dxa"/>
                  <w:vAlign w:val="center"/>
                </w:tcPr>
                <w:p>
                  <w:pPr>
                    <w:overflowPunct w:val="0"/>
                    <w:autoSpaceDE w:val="0"/>
                    <w:autoSpaceDN w:val="0"/>
                    <w:adjustRightInd w:val="0"/>
                    <w:snapToGrid w:val="0"/>
                    <w:spacing w:line="0" w:lineRule="atLeast"/>
                    <w:jc w:val="center"/>
                    <w:rPr>
                      <w:color w:val="auto"/>
                      <w:spacing w:val="6"/>
                      <w:szCs w:val="21"/>
                      <w:highlight w:val="none"/>
                    </w:rPr>
                  </w:pPr>
                  <w:r>
                    <w:rPr>
                      <w:color w:val="auto"/>
                      <w:spacing w:val="6"/>
                      <w:szCs w:val="21"/>
                      <w:highlight w:val="none"/>
                    </w:rPr>
                    <w:t>外售</w:t>
                  </w:r>
                </w:p>
              </w:tc>
            </w:tr>
          </w:tbl>
          <w:p>
            <w:pPr>
              <w:spacing w:line="360" w:lineRule="auto"/>
              <w:ind w:firstLine="512" w:firstLineChars="200"/>
              <w:rPr>
                <w:color w:val="auto"/>
                <w:highlight w:val="none"/>
              </w:rPr>
            </w:pPr>
            <w:r>
              <w:rPr>
                <w:color w:val="auto"/>
                <w:spacing w:val="8"/>
                <w:kern w:val="24"/>
                <w:sz w:val="24"/>
                <w:highlight w:val="none"/>
              </w:rPr>
              <w:t>一般固废：</w:t>
            </w:r>
          </w:p>
          <w:p>
            <w:pPr>
              <w:spacing w:line="360" w:lineRule="auto"/>
              <w:ind w:firstLine="480" w:firstLineChars="200"/>
              <w:rPr>
                <w:rFonts w:hint="default" w:eastAsia="宋体"/>
                <w:color w:val="auto"/>
                <w:kern w:val="0"/>
                <w:sz w:val="24"/>
                <w:highlight w:val="none"/>
                <w:lang w:val="en-US" w:eastAsia="zh-CN"/>
              </w:rPr>
            </w:pPr>
            <w:r>
              <w:rPr>
                <w:rFonts w:hint="eastAsia"/>
                <w:color w:val="auto"/>
                <w:sz w:val="24"/>
                <w:szCs w:val="24"/>
                <w:highlight w:val="none"/>
              </w:rPr>
              <w:t>含</w:t>
            </w:r>
            <w:r>
              <w:rPr>
                <w:rFonts w:hint="eastAsia"/>
                <w:color w:val="auto"/>
                <w:sz w:val="24"/>
                <w:szCs w:val="24"/>
                <w:highlight w:val="none"/>
                <w:lang w:eastAsia="zh-CN"/>
              </w:rPr>
              <w:t>油</w:t>
            </w:r>
            <w:r>
              <w:rPr>
                <w:rFonts w:hint="eastAsia"/>
                <w:color w:val="auto"/>
                <w:sz w:val="24"/>
                <w:szCs w:val="24"/>
                <w:highlight w:val="none"/>
              </w:rPr>
              <w:t>金属屑单独收集后放入离心分离设备内，在离心力的作用下，将金属屑与</w:t>
            </w:r>
            <w:r>
              <w:rPr>
                <w:rFonts w:hint="eastAsia"/>
                <w:color w:val="auto"/>
                <w:sz w:val="24"/>
                <w:szCs w:val="24"/>
                <w:highlight w:val="none"/>
                <w:lang w:eastAsia="zh-CN"/>
              </w:rPr>
              <w:t>废</w:t>
            </w:r>
            <w:r>
              <w:rPr>
                <w:rFonts w:hint="eastAsia"/>
                <w:color w:val="auto"/>
                <w:sz w:val="24"/>
                <w:szCs w:val="24"/>
                <w:highlight w:val="none"/>
              </w:rPr>
              <w:t>切削液分开，离</w:t>
            </w:r>
            <w:r>
              <w:rPr>
                <w:rFonts w:hint="eastAsia"/>
                <w:color w:val="auto"/>
                <w:sz w:val="24"/>
                <w:szCs w:val="24"/>
                <w:highlight w:val="none"/>
                <w:lang w:eastAsia="zh-CN"/>
              </w:rPr>
              <w:t>心</w:t>
            </w:r>
            <w:r>
              <w:rPr>
                <w:rFonts w:hint="eastAsia"/>
                <w:color w:val="auto"/>
                <w:sz w:val="24"/>
                <w:szCs w:val="24"/>
                <w:highlight w:val="none"/>
              </w:rPr>
              <w:t>设备收集桶内收集的废切削液倒入回收桶内，加盖储存，可重新回用于生产，</w:t>
            </w:r>
            <w:r>
              <w:rPr>
                <w:rFonts w:hint="eastAsia"/>
                <w:color w:val="auto"/>
                <w:sz w:val="24"/>
                <w:szCs w:val="24"/>
                <w:highlight w:val="none"/>
                <w:lang w:eastAsia="zh-CN"/>
              </w:rPr>
              <w:t>定期更换；</w:t>
            </w:r>
            <w:r>
              <w:rPr>
                <w:rFonts w:hint="eastAsia"/>
                <w:color w:val="auto"/>
                <w:spacing w:val="8"/>
                <w:kern w:val="24"/>
                <w:sz w:val="24"/>
                <w:highlight w:val="none"/>
                <w:lang w:val="en-US" w:eastAsia="zh-CN"/>
              </w:rPr>
              <w:t>离心后的废金属屑袋装收集储存不落地，集中收集后外售；</w:t>
            </w:r>
            <w:r>
              <w:rPr>
                <w:rFonts w:hint="eastAsia"/>
                <w:color w:val="auto"/>
                <w:spacing w:val="8"/>
                <w:kern w:val="24"/>
                <w:sz w:val="24"/>
                <w:highlight w:val="none"/>
                <w:lang w:eastAsia="zh-CN"/>
              </w:rPr>
              <w:t>分离出的金属屑量为</w:t>
            </w:r>
            <w:r>
              <w:rPr>
                <w:rFonts w:hint="eastAsia"/>
                <w:color w:val="auto"/>
                <w:spacing w:val="8"/>
                <w:kern w:val="24"/>
                <w:sz w:val="24"/>
                <w:highlight w:val="none"/>
                <w:lang w:val="en-US" w:eastAsia="zh-CN"/>
              </w:rPr>
              <w:t>2.0t/a</w:t>
            </w:r>
            <w:r>
              <w:rPr>
                <w:rFonts w:hint="eastAsia"/>
                <w:color w:val="auto"/>
                <w:spacing w:val="8"/>
                <w:kern w:val="24"/>
                <w:sz w:val="24"/>
                <w:highlight w:val="none"/>
                <w:lang w:eastAsia="zh-CN"/>
              </w:rPr>
              <w:t>（现有工程产生量为</w:t>
            </w:r>
            <w:r>
              <w:rPr>
                <w:rFonts w:hint="eastAsia"/>
                <w:color w:val="auto"/>
                <w:spacing w:val="8"/>
                <w:kern w:val="24"/>
                <w:sz w:val="24"/>
                <w:highlight w:val="none"/>
                <w:lang w:val="en-US" w:eastAsia="zh-CN"/>
              </w:rPr>
              <w:t>1</w:t>
            </w:r>
            <w:r>
              <w:rPr>
                <w:rFonts w:hint="eastAsia"/>
                <w:color w:val="auto"/>
                <w:spacing w:val="8"/>
                <w:kern w:val="24"/>
                <w:sz w:val="24"/>
                <w:highlight w:val="none"/>
              </w:rPr>
              <w:t>.</w:t>
            </w:r>
            <w:r>
              <w:rPr>
                <w:rFonts w:hint="eastAsia"/>
                <w:color w:val="auto"/>
                <w:spacing w:val="8"/>
                <w:kern w:val="24"/>
                <w:sz w:val="24"/>
                <w:highlight w:val="none"/>
                <w:lang w:val="en-US" w:eastAsia="zh-CN"/>
              </w:rPr>
              <w:t>5</w:t>
            </w:r>
            <w:r>
              <w:rPr>
                <w:rFonts w:hint="eastAsia"/>
                <w:color w:val="auto"/>
                <w:spacing w:val="8"/>
                <w:kern w:val="24"/>
                <w:sz w:val="24"/>
                <w:highlight w:val="none"/>
              </w:rPr>
              <w:t>t/a</w:t>
            </w:r>
            <w:r>
              <w:rPr>
                <w:rFonts w:hint="eastAsia"/>
                <w:color w:val="auto"/>
                <w:spacing w:val="8"/>
                <w:kern w:val="24"/>
                <w:sz w:val="24"/>
                <w:highlight w:val="none"/>
                <w:lang w:eastAsia="zh-CN"/>
              </w:rPr>
              <w:t>，技改项目产生量为</w:t>
            </w:r>
            <w:r>
              <w:rPr>
                <w:rFonts w:hint="eastAsia"/>
                <w:color w:val="auto"/>
                <w:spacing w:val="8"/>
                <w:kern w:val="24"/>
                <w:sz w:val="24"/>
                <w:highlight w:val="none"/>
                <w:lang w:val="en-US" w:eastAsia="zh-CN"/>
              </w:rPr>
              <w:t>0.5</w:t>
            </w:r>
            <w:r>
              <w:rPr>
                <w:rFonts w:hint="eastAsia"/>
                <w:color w:val="auto"/>
                <w:spacing w:val="8"/>
                <w:kern w:val="24"/>
                <w:sz w:val="24"/>
                <w:highlight w:val="none"/>
              </w:rPr>
              <w:t>t/a</w:t>
            </w:r>
            <w:r>
              <w:rPr>
                <w:rFonts w:hint="eastAsia"/>
                <w:color w:val="auto"/>
                <w:spacing w:val="8"/>
                <w:kern w:val="24"/>
                <w:sz w:val="24"/>
                <w:highlight w:val="none"/>
                <w:lang w:eastAsia="zh-CN"/>
              </w:rPr>
              <w:t>）</w:t>
            </w:r>
            <w:r>
              <w:rPr>
                <w:rFonts w:hint="eastAsia"/>
                <w:color w:val="auto"/>
                <w:spacing w:val="8"/>
                <w:kern w:val="24"/>
                <w:sz w:val="24"/>
                <w:highlight w:val="none"/>
                <w:lang w:val="en-US" w:eastAsia="zh-CN"/>
              </w:rPr>
              <w:t>，集中收集后外售</w:t>
            </w:r>
            <w:r>
              <w:rPr>
                <w:rFonts w:hint="eastAsia"/>
                <w:color w:val="auto"/>
                <w:spacing w:val="8"/>
                <w:kern w:val="24"/>
                <w:sz w:val="24"/>
                <w:highlight w:val="none"/>
              </w:rPr>
              <w:t>。</w:t>
            </w:r>
            <w:r>
              <w:rPr>
                <w:rFonts w:hint="eastAsia"/>
                <w:color w:val="auto"/>
                <w:spacing w:val="8"/>
                <w:kern w:val="24"/>
                <w:sz w:val="24"/>
                <w:highlight w:val="none"/>
                <w:lang w:eastAsia="zh-CN"/>
              </w:rPr>
              <w:t>下料、机加工过程</w:t>
            </w:r>
            <w:r>
              <w:rPr>
                <w:rFonts w:hint="eastAsia"/>
                <w:color w:val="auto"/>
                <w:spacing w:val="8"/>
                <w:kern w:val="24"/>
                <w:sz w:val="24"/>
                <w:highlight w:val="none"/>
              </w:rPr>
              <w:t>下脚料产生量为</w:t>
            </w:r>
            <w:r>
              <w:rPr>
                <w:rFonts w:hint="eastAsia"/>
                <w:color w:val="auto"/>
                <w:spacing w:val="8"/>
                <w:kern w:val="24"/>
                <w:sz w:val="24"/>
                <w:highlight w:val="none"/>
                <w:lang w:val="en-US" w:eastAsia="zh-CN"/>
              </w:rPr>
              <w:t>6</w:t>
            </w:r>
            <w:r>
              <w:rPr>
                <w:rFonts w:hint="eastAsia"/>
                <w:color w:val="auto"/>
                <w:spacing w:val="8"/>
                <w:kern w:val="24"/>
                <w:sz w:val="24"/>
                <w:highlight w:val="none"/>
              </w:rPr>
              <w:t>.0t/a</w:t>
            </w:r>
            <w:r>
              <w:rPr>
                <w:rFonts w:hint="eastAsia"/>
                <w:color w:val="auto"/>
                <w:spacing w:val="8"/>
                <w:kern w:val="24"/>
                <w:sz w:val="24"/>
                <w:highlight w:val="none"/>
                <w:lang w:eastAsia="zh-CN"/>
              </w:rPr>
              <w:t>（现有工程产生量为</w:t>
            </w:r>
            <w:r>
              <w:rPr>
                <w:rFonts w:hint="eastAsia"/>
                <w:color w:val="auto"/>
                <w:spacing w:val="8"/>
                <w:kern w:val="24"/>
                <w:sz w:val="24"/>
                <w:highlight w:val="none"/>
                <w:lang w:val="en-US" w:eastAsia="zh-CN"/>
              </w:rPr>
              <w:t>4</w:t>
            </w:r>
            <w:r>
              <w:rPr>
                <w:rFonts w:hint="eastAsia"/>
                <w:color w:val="auto"/>
                <w:spacing w:val="8"/>
                <w:kern w:val="24"/>
                <w:sz w:val="24"/>
                <w:highlight w:val="none"/>
              </w:rPr>
              <w:t>.0t/a</w:t>
            </w:r>
            <w:r>
              <w:rPr>
                <w:rFonts w:hint="eastAsia"/>
                <w:color w:val="auto"/>
                <w:spacing w:val="8"/>
                <w:kern w:val="24"/>
                <w:sz w:val="24"/>
                <w:highlight w:val="none"/>
                <w:lang w:eastAsia="zh-CN"/>
              </w:rPr>
              <w:t>，技改项目产生量为</w:t>
            </w:r>
            <w:r>
              <w:rPr>
                <w:rFonts w:hint="eastAsia"/>
                <w:color w:val="auto"/>
                <w:spacing w:val="8"/>
                <w:kern w:val="24"/>
                <w:sz w:val="24"/>
                <w:highlight w:val="none"/>
                <w:lang w:val="en-US" w:eastAsia="zh-CN"/>
              </w:rPr>
              <w:t>2</w:t>
            </w:r>
            <w:r>
              <w:rPr>
                <w:rFonts w:hint="eastAsia"/>
                <w:color w:val="auto"/>
                <w:spacing w:val="8"/>
                <w:kern w:val="24"/>
                <w:sz w:val="24"/>
                <w:highlight w:val="none"/>
              </w:rPr>
              <w:t>.0t/a</w:t>
            </w:r>
            <w:r>
              <w:rPr>
                <w:rFonts w:hint="eastAsia"/>
                <w:color w:val="auto"/>
                <w:spacing w:val="8"/>
                <w:kern w:val="24"/>
                <w:sz w:val="24"/>
                <w:highlight w:val="none"/>
                <w:lang w:eastAsia="zh-CN"/>
              </w:rPr>
              <w:t>）</w:t>
            </w:r>
            <w:r>
              <w:rPr>
                <w:rFonts w:hint="eastAsia"/>
                <w:color w:val="auto"/>
                <w:spacing w:val="8"/>
                <w:kern w:val="24"/>
                <w:sz w:val="24"/>
                <w:highlight w:val="none"/>
              </w:rPr>
              <w:t>，下脚料</w:t>
            </w:r>
            <w:r>
              <w:rPr>
                <w:rFonts w:hint="eastAsia"/>
                <w:color w:val="auto"/>
                <w:kern w:val="0"/>
                <w:sz w:val="24"/>
                <w:highlight w:val="none"/>
              </w:rPr>
              <w:t>集中收集后外售；</w:t>
            </w:r>
            <w:r>
              <w:rPr>
                <w:rFonts w:hint="eastAsia"/>
                <w:color w:val="auto"/>
                <w:kern w:val="0"/>
                <w:sz w:val="24"/>
                <w:highlight w:val="none"/>
                <w:lang w:eastAsia="zh-CN"/>
              </w:rPr>
              <w:t>企业设置布袋除尘器</w:t>
            </w:r>
            <w:r>
              <w:rPr>
                <w:rFonts w:hint="eastAsia"/>
                <w:color w:val="auto"/>
                <w:kern w:val="0"/>
                <w:sz w:val="24"/>
                <w:highlight w:val="none"/>
                <w:lang w:val="en-US" w:eastAsia="zh-CN"/>
              </w:rPr>
              <w:t>2套，设置1套处理</w:t>
            </w:r>
            <w:r>
              <w:rPr>
                <w:rFonts w:hint="eastAsia"/>
                <w:color w:val="auto"/>
                <w:spacing w:val="8"/>
                <w:kern w:val="24"/>
                <w:sz w:val="24"/>
                <w:highlight w:val="none"/>
                <w:lang w:val="zh-CN"/>
              </w:rPr>
              <w:t>数控火焰切割机废气，设置</w:t>
            </w:r>
            <w:r>
              <w:rPr>
                <w:rFonts w:hint="eastAsia"/>
                <w:color w:val="auto"/>
                <w:spacing w:val="8"/>
                <w:kern w:val="24"/>
                <w:sz w:val="24"/>
                <w:highlight w:val="none"/>
                <w:lang w:val="en-US" w:eastAsia="zh-CN"/>
              </w:rPr>
              <w:t>1套</w:t>
            </w:r>
            <w:r>
              <w:rPr>
                <w:rFonts w:hint="eastAsia"/>
                <w:color w:val="auto"/>
                <w:kern w:val="0"/>
                <w:sz w:val="24"/>
                <w:highlight w:val="none"/>
                <w:lang w:eastAsia="zh-CN"/>
              </w:rPr>
              <w:t>布袋除尘器</w:t>
            </w:r>
            <w:r>
              <w:rPr>
                <w:rFonts w:hint="eastAsia"/>
                <w:color w:val="auto"/>
                <w:spacing w:val="8"/>
                <w:kern w:val="24"/>
                <w:sz w:val="24"/>
                <w:highlight w:val="none"/>
                <w:lang w:val="en-US" w:eastAsia="zh-CN"/>
              </w:rPr>
              <w:t>处理自制抛光机废气，除尘灰量为0.367t/a，</w:t>
            </w:r>
            <w:r>
              <w:rPr>
                <w:color w:val="auto"/>
                <w:sz w:val="24"/>
                <w:highlight w:val="none"/>
              </w:rPr>
              <w:t>除尘器储灰斗安装卸灰阀，螺旋输送机出料，</w:t>
            </w:r>
            <w:r>
              <w:rPr>
                <w:rFonts w:hint="eastAsia"/>
                <w:color w:val="auto"/>
                <w:sz w:val="24"/>
                <w:highlight w:val="none"/>
                <w:lang w:eastAsia="zh-CN"/>
              </w:rPr>
              <w:t>收集的除尘灰人工装袋，暂存于一般固废储存区</w:t>
            </w:r>
            <w:r>
              <w:rPr>
                <w:rFonts w:hint="eastAsia"/>
                <w:color w:val="auto"/>
                <w:spacing w:val="8"/>
                <w:kern w:val="24"/>
                <w:sz w:val="24"/>
                <w:highlight w:val="none"/>
                <w:lang w:val="en-US" w:eastAsia="zh-CN"/>
              </w:rPr>
              <w:t>后外售。</w:t>
            </w:r>
          </w:p>
          <w:p>
            <w:pPr>
              <w:spacing w:line="360" w:lineRule="auto"/>
              <w:ind w:firstLine="512" w:firstLineChars="200"/>
              <w:rPr>
                <w:color w:val="auto"/>
                <w:sz w:val="24"/>
                <w:highlight w:val="none"/>
              </w:rPr>
            </w:pPr>
            <w:r>
              <w:rPr>
                <w:rFonts w:hint="eastAsia"/>
                <w:color w:val="auto"/>
                <w:spacing w:val="8"/>
                <w:kern w:val="24"/>
                <w:sz w:val="24"/>
                <w:highlight w:val="none"/>
              </w:rPr>
              <w:t>一般固废均</w:t>
            </w:r>
            <w:r>
              <w:rPr>
                <w:rFonts w:hint="eastAsia"/>
                <w:color w:val="auto"/>
                <w:sz w:val="24"/>
                <w:highlight w:val="none"/>
              </w:rPr>
              <w:t>集中收集后存放于生产车间一般固废储存区，集中外售</w:t>
            </w:r>
            <w:r>
              <w:rPr>
                <w:rFonts w:hint="eastAsia"/>
                <w:color w:val="auto"/>
                <w:spacing w:val="8"/>
                <w:kern w:val="24"/>
                <w:sz w:val="24"/>
                <w:highlight w:val="none"/>
                <w:lang w:val="zh-CN"/>
              </w:rPr>
              <w:t>；</w:t>
            </w:r>
            <w:r>
              <w:rPr>
                <w:color w:val="auto"/>
                <w:sz w:val="24"/>
                <w:highlight w:val="none"/>
              </w:rPr>
              <w:t>为避免本项目产生的一般工业固废对环境造成的影响，主要是做好固废的收集、转运等环节。一般固废临时贮存场所</w:t>
            </w:r>
            <w:r>
              <w:rPr>
                <w:rFonts w:hint="eastAsia"/>
                <w:color w:val="auto"/>
                <w:sz w:val="24"/>
                <w:highlight w:val="none"/>
                <w:lang w:eastAsia="zh-CN"/>
              </w:rPr>
              <w:t>依托现有工程，</w:t>
            </w:r>
            <w:r>
              <w:rPr>
                <w:color w:val="auto"/>
                <w:sz w:val="24"/>
                <w:highlight w:val="none"/>
              </w:rPr>
              <w:t>按照《一般工业固体废物贮存、处置场污染控制标准》（GB18599-2001）及其修改清单标准相关要求建设。因此，本</w:t>
            </w:r>
            <w:r>
              <w:rPr>
                <w:rFonts w:hint="eastAsia"/>
                <w:color w:val="auto"/>
                <w:sz w:val="24"/>
                <w:highlight w:val="none"/>
                <w:lang w:eastAsia="zh-CN"/>
              </w:rPr>
              <w:t>次技改</w:t>
            </w:r>
            <w:r>
              <w:rPr>
                <w:color w:val="auto"/>
                <w:sz w:val="24"/>
                <w:highlight w:val="none"/>
              </w:rPr>
              <w:t>项目的一般固废均妥善处置，不会对建设项目周围环境造成明显的不良影响。</w:t>
            </w:r>
          </w:p>
          <w:p>
            <w:pPr>
              <w:spacing w:line="360" w:lineRule="auto"/>
              <w:ind w:firstLine="482" w:firstLineChars="200"/>
              <w:jc w:val="left"/>
              <w:rPr>
                <w:b/>
                <w:bCs/>
                <w:color w:val="auto"/>
                <w:kern w:val="0"/>
                <w:szCs w:val="21"/>
                <w:highlight w:val="none"/>
              </w:rPr>
            </w:pPr>
            <w:r>
              <w:rPr>
                <w:b/>
                <w:color w:val="auto"/>
                <w:sz w:val="24"/>
                <w:highlight w:val="none"/>
              </w:rPr>
              <w:t>②危险废物：</w:t>
            </w:r>
            <w:r>
              <w:rPr>
                <w:snapToGrid w:val="0"/>
                <w:color w:val="auto"/>
                <w:kern w:val="0"/>
                <w:sz w:val="24"/>
                <w:highlight w:val="none"/>
              </w:rPr>
              <w:t>根据《国家危险废物名录》（20</w:t>
            </w:r>
            <w:r>
              <w:rPr>
                <w:rFonts w:hint="eastAsia"/>
                <w:snapToGrid w:val="0"/>
                <w:color w:val="auto"/>
                <w:kern w:val="0"/>
                <w:sz w:val="24"/>
                <w:highlight w:val="none"/>
                <w:lang w:val="en-US" w:eastAsia="zh-CN"/>
              </w:rPr>
              <w:t>21</w:t>
            </w:r>
            <w:r>
              <w:rPr>
                <w:snapToGrid w:val="0"/>
                <w:color w:val="auto"/>
                <w:kern w:val="0"/>
                <w:sz w:val="24"/>
                <w:highlight w:val="none"/>
              </w:rPr>
              <w:t>）废</w:t>
            </w:r>
            <w:r>
              <w:rPr>
                <w:color w:val="auto"/>
                <w:spacing w:val="8"/>
                <w:kern w:val="24"/>
                <w:sz w:val="24"/>
                <w:highlight w:val="none"/>
              </w:rPr>
              <w:t>液压油</w:t>
            </w:r>
            <w:r>
              <w:rPr>
                <w:rFonts w:hint="eastAsia"/>
                <w:color w:val="auto"/>
                <w:spacing w:val="8"/>
                <w:kern w:val="24"/>
                <w:sz w:val="24"/>
                <w:highlight w:val="none"/>
              </w:rPr>
              <w:t>、废润滑油、废切削液、</w:t>
            </w:r>
            <w:r>
              <w:rPr>
                <w:rFonts w:hint="eastAsia"/>
                <w:color w:val="auto"/>
                <w:spacing w:val="8"/>
                <w:kern w:val="24"/>
                <w:sz w:val="24"/>
                <w:highlight w:val="none"/>
                <w:lang w:eastAsia="zh-CN"/>
              </w:rPr>
              <w:t>废包装桶、</w:t>
            </w:r>
            <w:r>
              <w:rPr>
                <w:rFonts w:hint="eastAsia"/>
                <w:snapToGrid w:val="0"/>
                <w:color w:val="auto"/>
                <w:kern w:val="0"/>
                <w:sz w:val="24"/>
                <w:highlight w:val="none"/>
                <w:lang w:eastAsia="zh-CN"/>
              </w:rPr>
              <w:t>含油废抹布及废手套</w:t>
            </w:r>
            <w:r>
              <w:rPr>
                <w:rFonts w:hint="eastAsia"/>
                <w:color w:val="auto"/>
                <w:spacing w:val="8"/>
                <w:kern w:val="24"/>
                <w:sz w:val="24"/>
                <w:highlight w:val="none"/>
                <w:lang w:eastAsia="zh-CN"/>
              </w:rPr>
              <w:t>均</w:t>
            </w:r>
            <w:r>
              <w:rPr>
                <w:snapToGrid w:val="0"/>
                <w:color w:val="auto"/>
                <w:kern w:val="0"/>
                <w:sz w:val="24"/>
                <w:highlight w:val="none"/>
              </w:rPr>
              <w:t>属于危险废物，根据《建设项目危险废物环境影响评价指南》对本项目危险废物进行评价。</w:t>
            </w:r>
          </w:p>
          <w:p>
            <w:pPr>
              <w:spacing w:line="360" w:lineRule="auto"/>
              <w:ind w:firstLine="482" w:firstLineChars="200"/>
              <w:jc w:val="center"/>
              <w:rPr>
                <w:b/>
                <w:color w:val="auto"/>
                <w:kern w:val="0"/>
                <w:sz w:val="24"/>
                <w:highlight w:val="none"/>
              </w:rPr>
            </w:pPr>
            <w:r>
              <w:rPr>
                <w:b/>
                <w:color w:val="auto"/>
                <w:kern w:val="0"/>
                <w:sz w:val="24"/>
                <w:highlight w:val="none"/>
              </w:rPr>
              <w:t>表</w:t>
            </w:r>
            <w:r>
              <w:rPr>
                <w:rFonts w:hint="eastAsia"/>
                <w:b/>
                <w:color w:val="auto"/>
                <w:kern w:val="0"/>
                <w:sz w:val="24"/>
                <w:highlight w:val="none"/>
              </w:rPr>
              <w:t>3</w:t>
            </w:r>
            <w:r>
              <w:rPr>
                <w:rFonts w:hint="eastAsia"/>
                <w:b/>
                <w:color w:val="auto"/>
                <w:kern w:val="0"/>
                <w:sz w:val="24"/>
                <w:highlight w:val="none"/>
                <w:lang w:val="en-US" w:eastAsia="zh-CN"/>
              </w:rPr>
              <w:t>4</w:t>
            </w:r>
            <w:r>
              <w:rPr>
                <w:b/>
                <w:color w:val="auto"/>
                <w:kern w:val="0"/>
                <w:sz w:val="24"/>
                <w:highlight w:val="none"/>
              </w:rPr>
              <w:t xml:space="preserve">    危险废物汇总表</w:t>
            </w:r>
          </w:p>
          <w:tbl>
            <w:tblPr>
              <w:tblStyle w:val="3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54"/>
              <w:gridCol w:w="860"/>
              <w:gridCol w:w="627"/>
              <w:gridCol w:w="736"/>
              <w:gridCol w:w="827"/>
              <w:gridCol w:w="876"/>
              <w:gridCol w:w="876"/>
              <w:gridCol w:w="406"/>
              <w:gridCol w:w="707"/>
              <w:gridCol w:w="747"/>
              <w:gridCol w:w="21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54" w:type="dxa"/>
                  <w:noWrap w:val="0"/>
                  <w:vAlign w:val="center"/>
                </w:tcPr>
                <w:p>
                  <w:pPr>
                    <w:adjustRightInd w:val="0"/>
                    <w:snapToGrid w:val="0"/>
                    <w:ind w:hanging="108"/>
                    <w:jc w:val="center"/>
                    <w:rPr>
                      <w:color w:val="auto"/>
                      <w:szCs w:val="21"/>
                      <w:highlight w:val="none"/>
                    </w:rPr>
                  </w:pPr>
                  <w:r>
                    <w:rPr>
                      <w:color w:val="auto"/>
                      <w:szCs w:val="21"/>
                      <w:highlight w:val="none"/>
                    </w:rPr>
                    <w:t>序</w:t>
                  </w:r>
                </w:p>
                <w:p>
                  <w:pPr>
                    <w:adjustRightInd w:val="0"/>
                    <w:snapToGrid w:val="0"/>
                    <w:ind w:hanging="108"/>
                    <w:jc w:val="center"/>
                    <w:rPr>
                      <w:color w:val="auto"/>
                      <w:szCs w:val="21"/>
                      <w:highlight w:val="none"/>
                    </w:rPr>
                  </w:pPr>
                  <w:r>
                    <w:rPr>
                      <w:color w:val="auto"/>
                      <w:szCs w:val="21"/>
                      <w:highlight w:val="none"/>
                    </w:rPr>
                    <w:t>号</w:t>
                  </w:r>
                </w:p>
              </w:tc>
              <w:tc>
                <w:tcPr>
                  <w:tcW w:w="860" w:type="dxa"/>
                  <w:noWrap w:val="0"/>
                  <w:vAlign w:val="center"/>
                </w:tcPr>
                <w:p>
                  <w:pPr>
                    <w:adjustRightInd w:val="0"/>
                    <w:snapToGrid w:val="0"/>
                    <w:jc w:val="center"/>
                    <w:rPr>
                      <w:color w:val="auto"/>
                      <w:szCs w:val="21"/>
                      <w:highlight w:val="none"/>
                    </w:rPr>
                  </w:pPr>
                  <w:r>
                    <w:rPr>
                      <w:color w:val="auto"/>
                      <w:szCs w:val="21"/>
                      <w:highlight w:val="none"/>
                    </w:rPr>
                    <w:t>危险废物名称</w:t>
                  </w:r>
                </w:p>
              </w:tc>
              <w:tc>
                <w:tcPr>
                  <w:tcW w:w="627" w:type="dxa"/>
                  <w:noWrap w:val="0"/>
                  <w:vAlign w:val="center"/>
                </w:tcPr>
                <w:p>
                  <w:pPr>
                    <w:adjustRightInd w:val="0"/>
                    <w:snapToGrid w:val="0"/>
                    <w:jc w:val="center"/>
                    <w:rPr>
                      <w:color w:val="auto"/>
                      <w:szCs w:val="21"/>
                      <w:highlight w:val="none"/>
                    </w:rPr>
                  </w:pPr>
                  <w:r>
                    <w:rPr>
                      <w:color w:val="auto"/>
                      <w:szCs w:val="21"/>
                      <w:highlight w:val="none"/>
                    </w:rPr>
                    <w:t>危险废物类别</w:t>
                  </w:r>
                </w:p>
              </w:tc>
              <w:tc>
                <w:tcPr>
                  <w:tcW w:w="736" w:type="dxa"/>
                  <w:noWrap w:val="0"/>
                  <w:vAlign w:val="center"/>
                </w:tcPr>
                <w:p>
                  <w:pPr>
                    <w:adjustRightInd w:val="0"/>
                    <w:snapToGrid w:val="0"/>
                    <w:jc w:val="center"/>
                    <w:rPr>
                      <w:color w:val="auto"/>
                      <w:szCs w:val="21"/>
                      <w:highlight w:val="none"/>
                    </w:rPr>
                  </w:pPr>
                  <w:r>
                    <w:rPr>
                      <w:color w:val="auto"/>
                      <w:szCs w:val="21"/>
                      <w:highlight w:val="none"/>
                    </w:rPr>
                    <w:t>危险废物代码</w:t>
                  </w:r>
                </w:p>
              </w:tc>
              <w:tc>
                <w:tcPr>
                  <w:tcW w:w="827" w:type="dxa"/>
                  <w:noWrap w:val="0"/>
                  <w:vAlign w:val="center"/>
                </w:tcPr>
                <w:p>
                  <w:pPr>
                    <w:adjustRightInd w:val="0"/>
                    <w:snapToGrid w:val="0"/>
                    <w:jc w:val="center"/>
                    <w:rPr>
                      <w:color w:val="auto"/>
                      <w:szCs w:val="21"/>
                      <w:highlight w:val="none"/>
                    </w:rPr>
                  </w:pPr>
                  <w:r>
                    <w:rPr>
                      <w:rFonts w:hint="eastAsia"/>
                      <w:color w:val="auto"/>
                      <w:szCs w:val="21"/>
                      <w:highlight w:val="none"/>
                      <w:lang w:eastAsia="zh-CN"/>
                    </w:rPr>
                    <w:t>现有工程</w:t>
                  </w:r>
                  <w:r>
                    <w:rPr>
                      <w:color w:val="auto"/>
                      <w:szCs w:val="21"/>
                      <w:highlight w:val="none"/>
                    </w:rPr>
                    <w:t>产生量（t/a）</w:t>
                  </w:r>
                </w:p>
              </w:tc>
              <w:tc>
                <w:tcPr>
                  <w:tcW w:w="876" w:type="dxa"/>
                  <w:noWrap w:val="0"/>
                  <w:vAlign w:val="center"/>
                </w:tcPr>
                <w:p>
                  <w:pPr>
                    <w:adjustRightInd w:val="0"/>
                    <w:snapToGrid w:val="0"/>
                    <w:jc w:val="center"/>
                    <w:rPr>
                      <w:color w:val="auto"/>
                      <w:szCs w:val="21"/>
                      <w:highlight w:val="none"/>
                    </w:rPr>
                  </w:pPr>
                  <w:r>
                    <w:rPr>
                      <w:rFonts w:hint="eastAsia"/>
                      <w:color w:val="auto"/>
                      <w:szCs w:val="21"/>
                      <w:highlight w:val="none"/>
                      <w:lang w:eastAsia="zh-CN"/>
                    </w:rPr>
                    <w:t>技改项目</w:t>
                  </w:r>
                  <w:r>
                    <w:rPr>
                      <w:color w:val="auto"/>
                      <w:szCs w:val="21"/>
                      <w:highlight w:val="none"/>
                    </w:rPr>
                    <w:t>产生量（t/a）</w:t>
                  </w:r>
                </w:p>
              </w:tc>
              <w:tc>
                <w:tcPr>
                  <w:tcW w:w="876" w:type="dxa"/>
                  <w:noWrap w:val="0"/>
                  <w:vAlign w:val="center"/>
                </w:tcPr>
                <w:p>
                  <w:pPr>
                    <w:adjustRightInd w:val="0"/>
                    <w:snapToGrid w:val="0"/>
                    <w:ind w:hanging="108"/>
                    <w:jc w:val="center"/>
                    <w:rPr>
                      <w:color w:val="auto"/>
                      <w:szCs w:val="21"/>
                      <w:highlight w:val="none"/>
                    </w:rPr>
                  </w:pPr>
                  <w:r>
                    <w:rPr>
                      <w:color w:val="auto"/>
                      <w:szCs w:val="21"/>
                      <w:highlight w:val="none"/>
                    </w:rPr>
                    <w:t>产生</w:t>
                  </w:r>
                </w:p>
                <w:p>
                  <w:pPr>
                    <w:adjustRightInd w:val="0"/>
                    <w:snapToGrid w:val="0"/>
                    <w:ind w:hanging="108"/>
                    <w:jc w:val="center"/>
                    <w:rPr>
                      <w:color w:val="auto"/>
                      <w:szCs w:val="21"/>
                      <w:highlight w:val="none"/>
                    </w:rPr>
                  </w:pPr>
                  <w:r>
                    <w:rPr>
                      <w:color w:val="auto"/>
                      <w:szCs w:val="21"/>
                      <w:highlight w:val="none"/>
                    </w:rPr>
                    <w:t>工序</w:t>
                  </w:r>
                </w:p>
              </w:tc>
              <w:tc>
                <w:tcPr>
                  <w:tcW w:w="406" w:type="dxa"/>
                  <w:noWrap w:val="0"/>
                  <w:vAlign w:val="center"/>
                </w:tcPr>
                <w:p>
                  <w:pPr>
                    <w:adjustRightInd w:val="0"/>
                    <w:snapToGrid w:val="0"/>
                    <w:jc w:val="center"/>
                    <w:rPr>
                      <w:color w:val="auto"/>
                      <w:szCs w:val="21"/>
                      <w:highlight w:val="none"/>
                    </w:rPr>
                  </w:pPr>
                  <w:r>
                    <w:rPr>
                      <w:color w:val="auto"/>
                      <w:szCs w:val="21"/>
                      <w:highlight w:val="none"/>
                    </w:rPr>
                    <w:t>形态</w:t>
                  </w:r>
                </w:p>
              </w:tc>
              <w:tc>
                <w:tcPr>
                  <w:tcW w:w="707" w:type="dxa"/>
                  <w:noWrap w:val="0"/>
                  <w:vAlign w:val="center"/>
                </w:tcPr>
                <w:p>
                  <w:pPr>
                    <w:adjustRightInd w:val="0"/>
                    <w:snapToGrid w:val="0"/>
                    <w:jc w:val="center"/>
                    <w:rPr>
                      <w:color w:val="auto"/>
                      <w:szCs w:val="21"/>
                      <w:highlight w:val="none"/>
                    </w:rPr>
                  </w:pPr>
                  <w:r>
                    <w:rPr>
                      <w:color w:val="auto"/>
                      <w:szCs w:val="21"/>
                      <w:highlight w:val="none"/>
                    </w:rPr>
                    <w:t>主要成分</w:t>
                  </w:r>
                </w:p>
              </w:tc>
              <w:tc>
                <w:tcPr>
                  <w:tcW w:w="747" w:type="dxa"/>
                  <w:noWrap w:val="0"/>
                  <w:vAlign w:val="center"/>
                </w:tcPr>
                <w:p>
                  <w:pPr>
                    <w:adjustRightInd w:val="0"/>
                    <w:snapToGrid w:val="0"/>
                    <w:jc w:val="center"/>
                    <w:rPr>
                      <w:color w:val="auto"/>
                      <w:szCs w:val="21"/>
                      <w:highlight w:val="none"/>
                    </w:rPr>
                  </w:pPr>
                  <w:r>
                    <w:rPr>
                      <w:color w:val="auto"/>
                      <w:szCs w:val="21"/>
                      <w:highlight w:val="none"/>
                    </w:rPr>
                    <w:t>危险特性</w:t>
                  </w:r>
                </w:p>
              </w:tc>
              <w:tc>
                <w:tcPr>
                  <w:tcW w:w="2139" w:type="dxa"/>
                  <w:noWrap w:val="0"/>
                  <w:vAlign w:val="center"/>
                </w:tcPr>
                <w:p>
                  <w:pPr>
                    <w:adjustRightInd w:val="0"/>
                    <w:snapToGrid w:val="0"/>
                    <w:jc w:val="center"/>
                    <w:rPr>
                      <w:color w:val="auto"/>
                      <w:szCs w:val="21"/>
                      <w:highlight w:val="none"/>
                    </w:rPr>
                  </w:pPr>
                  <w:r>
                    <w:rPr>
                      <w:color w:val="auto"/>
                      <w:szCs w:val="21"/>
                      <w:highlight w:val="none"/>
                    </w:rPr>
                    <w:t>污染防治措施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54" w:type="dxa"/>
                  <w:noWrap w:val="0"/>
                  <w:vAlign w:val="center"/>
                </w:tcPr>
                <w:p>
                  <w:pPr>
                    <w:keepNext w:val="0"/>
                    <w:keepLines w:val="0"/>
                    <w:pageBreakBefore w:val="0"/>
                    <w:widowControl w:val="0"/>
                    <w:kinsoku/>
                    <w:wordWrap/>
                    <w:overflowPunct/>
                    <w:topLinePunct w:val="0"/>
                    <w:autoSpaceDE/>
                    <w:autoSpaceDN/>
                    <w:bidi w:val="0"/>
                    <w:adjustRightInd w:val="0"/>
                    <w:snapToGrid w:val="0"/>
                    <w:ind w:firstLine="0"/>
                    <w:jc w:val="center"/>
                    <w:textAlignment w:val="auto"/>
                    <w:rPr>
                      <w:color w:val="auto"/>
                      <w:szCs w:val="21"/>
                      <w:highlight w:val="none"/>
                    </w:rPr>
                  </w:pPr>
                  <w:r>
                    <w:rPr>
                      <w:color w:val="auto"/>
                      <w:szCs w:val="21"/>
                      <w:highlight w:val="none"/>
                    </w:rPr>
                    <w:t>1</w:t>
                  </w:r>
                </w:p>
              </w:tc>
              <w:tc>
                <w:tcPr>
                  <w:tcW w:w="860" w:type="dxa"/>
                  <w:noWrap w:val="0"/>
                  <w:vAlign w:val="center"/>
                </w:tcPr>
                <w:p>
                  <w:pPr>
                    <w:jc w:val="center"/>
                    <w:rPr>
                      <w:color w:val="auto"/>
                      <w:szCs w:val="21"/>
                      <w:highlight w:val="none"/>
                    </w:rPr>
                  </w:pPr>
                  <w:r>
                    <w:rPr>
                      <w:color w:val="auto"/>
                      <w:szCs w:val="21"/>
                      <w:highlight w:val="none"/>
                    </w:rPr>
                    <w:t>废润滑油</w:t>
                  </w:r>
                </w:p>
              </w:tc>
              <w:tc>
                <w:tcPr>
                  <w:tcW w:w="627" w:type="dxa"/>
                  <w:noWrap w:val="0"/>
                  <w:vAlign w:val="center"/>
                </w:tcPr>
                <w:p>
                  <w:pPr>
                    <w:pStyle w:val="27"/>
                    <w:adjustRightInd w:val="0"/>
                    <w:snapToGrid w:val="0"/>
                    <w:spacing w:before="0" w:beforeAutospacing="0" w:after="0" w:afterAutospacing="0"/>
                    <w:jc w:val="center"/>
                    <w:rPr>
                      <w:rFonts w:ascii="Times New Roman" w:hAnsi="Times New Roman" w:cs="Times New Roman"/>
                      <w:color w:val="auto"/>
                      <w:kern w:val="2"/>
                      <w:sz w:val="21"/>
                      <w:szCs w:val="21"/>
                      <w:highlight w:val="none"/>
                    </w:rPr>
                  </w:pPr>
                  <w:r>
                    <w:rPr>
                      <w:rFonts w:ascii="Times New Roman" w:hAnsi="Times New Roman" w:cs="Times New Roman"/>
                      <w:color w:val="auto"/>
                      <w:sz w:val="21"/>
                      <w:szCs w:val="21"/>
                      <w:highlight w:val="none"/>
                      <w:lang w:bidi="ar"/>
                    </w:rPr>
                    <w:t>HW08</w:t>
                  </w:r>
                </w:p>
              </w:tc>
              <w:tc>
                <w:tcPr>
                  <w:tcW w:w="736" w:type="dxa"/>
                  <w:noWrap w:val="0"/>
                  <w:vAlign w:val="center"/>
                </w:tcPr>
                <w:p>
                  <w:pPr>
                    <w:widowControl/>
                    <w:jc w:val="center"/>
                    <w:rPr>
                      <w:color w:val="auto"/>
                      <w:szCs w:val="21"/>
                      <w:highlight w:val="none"/>
                    </w:rPr>
                  </w:pPr>
                  <w:r>
                    <w:rPr>
                      <w:color w:val="auto"/>
                      <w:kern w:val="0"/>
                      <w:szCs w:val="21"/>
                      <w:highlight w:val="none"/>
                      <w:lang w:bidi="ar"/>
                    </w:rPr>
                    <w:t>900-214-08</w:t>
                  </w:r>
                </w:p>
              </w:tc>
              <w:tc>
                <w:tcPr>
                  <w:tcW w:w="827" w:type="dxa"/>
                  <w:noWrap w:val="0"/>
                  <w:vAlign w:val="center"/>
                </w:tcPr>
                <w:p>
                  <w:pPr>
                    <w:adjustRightInd w:val="0"/>
                    <w:snapToGrid w:val="0"/>
                    <w:jc w:val="center"/>
                    <w:rPr>
                      <w:rFonts w:hint="default" w:eastAsia="宋体"/>
                      <w:color w:val="auto"/>
                      <w:szCs w:val="21"/>
                      <w:highlight w:val="none"/>
                      <w:lang w:val="en-US" w:eastAsia="zh-CN"/>
                    </w:rPr>
                  </w:pPr>
                  <w:r>
                    <w:rPr>
                      <w:rFonts w:hint="eastAsia"/>
                      <w:color w:val="auto"/>
                      <w:szCs w:val="21"/>
                      <w:highlight w:val="none"/>
                      <w:lang w:val="en-US" w:eastAsia="zh-CN"/>
                    </w:rPr>
                    <w:t>0.1</w:t>
                  </w:r>
                </w:p>
              </w:tc>
              <w:tc>
                <w:tcPr>
                  <w:tcW w:w="876" w:type="dxa"/>
                  <w:noWrap w:val="0"/>
                  <w:vAlign w:val="center"/>
                </w:tcPr>
                <w:p>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0.1</w:t>
                  </w:r>
                </w:p>
              </w:tc>
              <w:tc>
                <w:tcPr>
                  <w:tcW w:w="876" w:type="dxa"/>
                  <w:vMerge w:val="restart"/>
                  <w:noWrap w:val="0"/>
                  <w:vAlign w:val="center"/>
                </w:tcPr>
                <w:p>
                  <w:pPr>
                    <w:jc w:val="center"/>
                    <w:rPr>
                      <w:color w:val="auto"/>
                      <w:szCs w:val="21"/>
                      <w:highlight w:val="none"/>
                    </w:rPr>
                  </w:pPr>
                  <w:r>
                    <w:rPr>
                      <w:color w:val="auto"/>
                      <w:szCs w:val="21"/>
                      <w:highlight w:val="none"/>
                    </w:rPr>
                    <w:t>设备运转检修</w:t>
                  </w:r>
                </w:p>
              </w:tc>
              <w:tc>
                <w:tcPr>
                  <w:tcW w:w="406" w:type="dxa"/>
                  <w:noWrap w:val="0"/>
                  <w:vAlign w:val="center"/>
                </w:tcPr>
                <w:p>
                  <w:pPr>
                    <w:adjustRightInd w:val="0"/>
                    <w:snapToGrid w:val="0"/>
                    <w:jc w:val="center"/>
                    <w:rPr>
                      <w:color w:val="auto"/>
                      <w:szCs w:val="21"/>
                      <w:highlight w:val="none"/>
                    </w:rPr>
                  </w:pPr>
                  <w:r>
                    <w:rPr>
                      <w:color w:val="auto"/>
                      <w:szCs w:val="21"/>
                      <w:highlight w:val="none"/>
                    </w:rPr>
                    <w:t>液</w:t>
                  </w:r>
                </w:p>
              </w:tc>
              <w:tc>
                <w:tcPr>
                  <w:tcW w:w="707" w:type="dxa"/>
                  <w:noWrap w:val="0"/>
                  <w:vAlign w:val="center"/>
                </w:tcPr>
                <w:p>
                  <w:pPr>
                    <w:adjustRightInd w:val="0"/>
                    <w:snapToGrid w:val="0"/>
                    <w:jc w:val="center"/>
                    <w:rPr>
                      <w:color w:val="auto"/>
                      <w:szCs w:val="21"/>
                      <w:highlight w:val="none"/>
                    </w:rPr>
                  </w:pPr>
                  <w:r>
                    <w:rPr>
                      <w:color w:val="auto"/>
                      <w:szCs w:val="21"/>
                      <w:highlight w:val="none"/>
                    </w:rPr>
                    <w:t>废矿物油</w:t>
                  </w:r>
                </w:p>
              </w:tc>
              <w:tc>
                <w:tcPr>
                  <w:tcW w:w="747" w:type="dxa"/>
                  <w:vMerge w:val="restart"/>
                  <w:noWrap w:val="0"/>
                  <w:vAlign w:val="center"/>
                </w:tcPr>
                <w:p>
                  <w:pPr>
                    <w:widowControl/>
                    <w:jc w:val="center"/>
                    <w:rPr>
                      <w:color w:val="auto"/>
                      <w:szCs w:val="21"/>
                      <w:highlight w:val="none"/>
                    </w:rPr>
                  </w:pPr>
                  <w:r>
                    <w:rPr>
                      <w:color w:val="auto"/>
                      <w:kern w:val="0"/>
                      <w:szCs w:val="21"/>
                      <w:highlight w:val="none"/>
                    </w:rPr>
                    <w:t>T，I</w:t>
                  </w:r>
                </w:p>
              </w:tc>
              <w:tc>
                <w:tcPr>
                  <w:tcW w:w="2139" w:type="dxa"/>
                  <w:vMerge w:val="restart"/>
                  <w:noWrap w:val="0"/>
                  <w:vAlign w:val="center"/>
                </w:tcPr>
                <w:p>
                  <w:pPr>
                    <w:adjustRightInd w:val="0"/>
                    <w:snapToGrid w:val="0"/>
                    <w:jc w:val="center"/>
                    <w:rPr>
                      <w:color w:val="auto"/>
                      <w:szCs w:val="21"/>
                      <w:highlight w:val="none"/>
                    </w:rPr>
                  </w:pPr>
                  <w:r>
                    <w:rPr>
                      <w:color w:val="auto"/>
                      <w:szCs w:val="21"/>
                      <w:highlight w:val="none"/>
                    </w:rPr>
                    <w:t>收集后置于专门的容器内，暂存危废暂存间，委托有资质的单位处理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54" w:type="dxa"/>
                  <w:noWrap w:val="0"/>
                  <w:vAlign w:val="center"/>
                </w:tcPr>
                <w:p>
                  <w:pPr>
                    <w:keepNext w:val="0"/>
                    <w:keepLines w:val="0"/>
                    <w:pageBreakBefore w:val="0"/>
                    <w:widowControl w:val="0"/>
                    <w:kinsoku/>
                    <w:wordWrap/>
                    <w:overflowPunct/>
                    <w:topLinePunct w:val="0"/>
                    <w:autoSpaceDE/>
                    <w:autoSpaceDN/>
                    <w:bidi w:val="0"/>
                    <w:adjustRightInd w:val="0"/>
                    <w:snapToGrid w:val="0"/>
                    <w:ind w:firstLine="0"/>
                    <w:jc w:val="center"/>
                    <w:textAlignment w:val="auto"/>
                    <w:rPr>
                      <w:color w:val="auto"/>
                      <w:szCs w:val="21"/>
                      <w:highlight w:val="none"/>
                    </w:rPr>
                  </w:pPr>
                  <w:r>
                    <w:rPr>
                      <w:color w:val="auto"/>
                      <w:szCs w:val="21"/>
                      <w:highlight w:val="none"/>
                    </w:rPr>
                    <w:t>2</w:t>
                  </w:r>
                </w:p>
              </w:tc>
              <w:tc>
                <w:tcPr>
                  <w:tcW w:w="860" w:type="dxa"/>
                  <w:noWrap w:val="0"/>
                  <w:vAlign w:val="center"/>
                </w:tcPr>
                <w:p>
                  <w:pPr>
                    <w:jc w:val="center"/>
                    <w:rPr>
                      <w:color w:val="auto"/>
                      <w:szCs w:val="21"/>
                      <w:highlight w:val="none"/>
                    </w:rPr>
                  </w:pPr>
                  <w:r>
                    <w:rPr>
                      <w:color w:val="auto"/>
                      <w:szCs w:val="21"/>
                      <w:highlight w:val="none"/>
                    </w:rPr>
                    <w:t>废液压油</w:t>
                  </w:r>
                </w:p>
              </w:tc>
              <w:tc>
                <w:tcPr>
                  <w:tcW w:w="627" w:type="dxa"/>
                  <w:noWrap w:val="0"/>
                  <w:vAlign w:val="center"/>
                </w:tcPr>
                <w:p>
                  <w:pPr>
                    <w:pStyle w:val="27"/>
                    <w:adjustRightInd w:val="0"/>
                    <w:snapToGrid w:val="0"/>
                    <w:spacing w:before="0" w:beforeAutospacing="0" w:after="0" w:afterAutospacing="0"/>
                    <w:jc w:val="center"/>
                    <w:rPr>
                      <w:rFonts w:ascii="Times New Roman" w:hAnsi="Times New Roman" w:cs="Times New Roman"/>
                      <w:color w:val="auto"/>
                      <w:sz w:val="21"/>
                      <w:szCs w:val="21"/>
                      <w:highlight w:val="none"/>
                      <w:lang w:bidi="ar"/>
                    </w:rPr>
                  </w:pPr>
                  <w:r>
                    <w:rPr>
                      <w:rFonts w:ascii="Times New Roman" w:hAnsi="Times New Roman" w:cs="Times New Roman"/>
                      <w:color w:val="auto"/>
                      <w:sz w:val="21"/>
                      <w:szCs w:val="21"/>
                      <w:highlight w:val="none"/>
                      <w:lang w:bidi="ar"/>
                    </w:rPr>
                    <w:t>HW08</w:t>
                  </w:r>
                </w:p>
              </w:tc>
              <w:tc>
                <w:tcPr>
                  <w:tcW w:w="736" w:type="dxa"/>
                  <w:noWrap w:val="0"/>
                  <w:vAlign w:val="center"/>
                </w:tcPr>
                <w:p>
                  <w:pPr>
                    <w:widowControl/>
                    <w:jc w:val="center"/>
                    <w:rPr>
                      <w:color w:val="auto"/>
                      <w:kern w:val="0"/>
                      <w:szCs w:val="21"/>
                      <w:highlight w:val="none"/>
                      <w:lang w:bidi="ar"/>
                    </w:rPr>
                  </w:pPr>
                  <w:r>
                    <w:rPr>
                      <w:color w:val="auto"/>
                      <w:kern w:val="0"/>
                      <w:szCs w:val="21"/>
                      <w:highlight w:val="none"/>
                      <w:lang w:bidi="ar"/>
                    </w:rPr>
                    <w:t>900-21</w:t>
                  </w:r>
                  <w:r>
                    <w:rPr>
                      <w:rFonts w:hint="eastAsia"/>
                      <w:color w:val="auto"/>
                      <w:kern w:val="0"/>
                      <w:szCs w:val="21"/>
                      <w:highlight w:val="none"/>
                      <w:lang w:bidi="ar"/>
                    </w:rPr>
                    <w:t>8</w:t>
                  </w:r>
                  <w:r>
                    <w:rPr>
                      <w:color w:val="auto"/>
                      <w:kern w:val="0"/>
                      <w:szCs w:val="21"/>
                      <w:highlight w:val="none"/>
                      <w:lang w:bidi="ar"/>
                    </w:rPr>
                    <w:t>-08</w:t>
                  </w:r>
                </w:p>
              </w:tc>
              <w:tc>
                <w:tcPr>
                  <w:tcW w:w="827" w:type="dxa"/>
                  <w:noWrap w:val="0"/>
                  <w:vAlign w:val="center"/>
                </w:tcPr>
                <w:p>
                  <w:pPr>
                    <w:adjustRightInd w:val="0"/>
                    <w:snapToGrid w:val="0"/>
                    <w:jc w:val="center"/>
                    <w:rPr>
                      <w:rFonts w:hint="default" w:eastAsia="宋体"/>
                      <w:color w:val="auto"/>
                      <w:szCs w:val="21"/>
                      <w:highlight w:val="none"/>
                      <w:lang w:val="en-US" w:eastAsia="zh-CN"/>
                    </w:rPr>
                  </w:pPr>
                  <w:r>
                    <w:rPr>
                      <w:rFonts w:hint="eastAsia"/>
                      <w:color w:val="auto"/>
                      <w:szCs w:val="21"/>
                      <w:highlight w:val="none"/>
                      <w:lang w:val="en-US" w:eastAsia="zh-CN"/>
                    </w:rPr>
                    <w:t>0.1</w:t>
                  </w:r>
                </w:p>
              </w:tc>
              <w:tc>
                <w:tcPr>
                  <w:tcW w:w="876" w:type="dxa"/>
                  <w:noWrap w:val="0"/>
                  <w:vAlign w:val="center"/>
                </w:tcPr>
                <w:p>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0.1</w:t>
                  </w:r>
                </w:p>
              </w:tc>
              <w:tc>
                <w:tcPr>
                  <w:tcW w:w="876" w:type="dxa"/>
                  <w:vMerge w:val="continue"/>
                  <w:noWrap w:val="0"/>
                  <w:vAlign w:val="center"/>
                </w:tcPr>
                <w:p>
                  <w:pPr>
                    <w:jc w:val="center"/>
                    <w:rPr>
                      <w:color w:val="auto"/>
                      <w:szCs w:val="21"/>
                      <w:highlight w:val="none"/>
                    </w:rPr>
                  </w:pPr>
                </w:p>
              </w:tc>
              <w:tc>
                <w:tcPr>
                  <w:tcW w:w="406" w:type="dxa"/>
                  <w:noWrap w:val="0"/>
                  <w:vAlign w:val="center"/>
                </w:tcPr>
                <w:p>
                  <w:pPr>
                    <w:adjustRightInd w:val="0"/>
                    <w:snapToGrid w:val="0"/>
                    <w:jc w:val="center"/>
                    <w:rPr>
                      <w:color w:val="auto"/>
                      <w:szCs w:val="21"/>
                      <w:highlight w:val="none"/>
                    </w:rPr>
                  </w:pPr>
                  <w:r>
                    <w:rPr>
                      <w:color w:val="auto"/>
                      <w:szCs w:val="21"/>
                      <w:highlight w:val="none"/>
                    </w:rPr>
                    <w:t>液</w:t>
                  </w:r>
                </w:p>
              </w:tc>
              <w:tc>
                <w:tcPr>
                  <w:tcW w:w="707" w:type="dxa"/>
                  <w:noWrap w:val="0"/>
                  <w:vAlign w:val="center"/>
                </w:tcPr>
                <w:p>
                  <w:pPr>
                    <w:adjustRightInd w:val="0"/>
                    <w:snapToGrid w:val="0"/>
                    <w:jc w:val="center"/>
                    <w:rPr>
                      <w:color w:val="auto"/>
                      <w:szCs w:val="21"/>
                      <w:highlight w:val="none"/>
                    </w:rPr>
                  </w:pPr>
                  <w:r>
                    <w:rPr>
                      <w:color w:val="auto"/>
                      <w:szCs w:val="21"/>
                      <w:highlight w:val="none"/>
                    </w:rPr>
                    <w:t>废矿物油</w:t>
                  </w:r>
                </w:p>
              </w:tc>
              <w:tc>
                <w:tcPr>
                  <w:tcW w:w="747" w:type="dxa"/>
                  <w:vMerge w:val="continue"/>
                  <w:noWrap w:val="0"/>
                  <w:vAlign w:val="center"/>
                </w:tcPr>
                <w:p>
                  <w:pPr>
                    <w:widowControl/>
                    <w:jc w:val="center"/>
                    <w:rPr>
                      <w:color w:val="auto"/>
                      <w:szCs w:val="21"/>
                      <w:highlight w:val="none"/>
                    </w:rPr>
                  </w:pPr>
                </w:p>
              </w:tc>
              <w:tc>
                <w:tcPr>
                  <w:tcW w:w="2139" w:type="dxa"/>
                  <w:vMerge w:val="continue"/>
                  <w:noWrap w:val="0"/>
                  <w:vAlign w:val="center"/>
                </w:tcPr>
                <w:p>
                  <w:pPr>
                    <w:adjustRightInd w:val="0"/>
                    <w:snapToGrid w:val="0"/>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54" w:type="dxa"/>
                  <w:noWrap w:val="0"/>
                  <w:vAlign w:val="center"/>
                </w:tcPr>
                <w:p>
                  <w:pPr>
                    <w:keepNext w:val="0"/>
                    <w:keepLines w:val="0"/>
                    <w:pageBreakBefore w:val="0"/>
                    <w:widowControl w:val="0"/>
                    <w:kinsoku/>
                    <w:wordWrap/>
                    <w:overflowPunct/>
                    <w:topLinePunct w:val="0"/>
                    <w:autoSpaceDE/>
                    <w:autoSpaceDN/>
                    <w:bidi w:val="0"/>
                    <w:adjustRightInd w:val="0"/>
                    <w:snapToGrid w:val="0"/>
                    <w:ind w:firstLine="0"/>
                    <w:jc w:val="center"/>
                    <w:textAlignment w:val="auto"/>
                    <w:rPr>
                      <w:rFonts w:hint="eastAsia"/>
                      <w:color w:val="auto"/>
                      <w:szCs w:val="21"/>
                      <w:highlight w:val="none"/>
                    </w:rPr>
                  </w:pPr>
                  <w:r>
                    <w:rPr>
                      <w:rFonts w:hint="eastAsia"/>
                      <w:color w:val="auto"/>
                      <w:szCs w:val="21"/>
                      <w:highlight w:val="none"/>
                    </w:rPr>
                    <w:t>3</w:t>
                  </w:r>
                </w:p>
              </w:tc>
              <w:tc>
                <w:tcPr>
                  <w:tcW w:w="860" w:type="dxa"/>
                  <w:noWrap w:val="0"/>
                  <w:vAlign w:val="center"/>
                </w:tcPr>
                <w:p>
                  <w:pPr>
                    <w:jc w:val="center"/>
                    <w:rPr>
                      <w:rFonts w:hint="eastAsia"/>
                      <w:color w:val="auto"/>
                      <w:szCs w:val="21"/>
                      <w:highlight w:val="none"/>
                    </w:rPr>
                  </w:pPr>
                  <w:r>
                    <w:rPr>
                      <w:rFonts w:hint="eastAsia"/>
                      <w:color w:val="auto"/>
                      <w:szCs w:val="21"/>
                      <w:highlight w:val="none"/>
                    </w:rPr>
                    <w:t>废切削液</w:t>
                  </w:r>
                </w:p>
              </w:tc>
              <w:tc>
                <w:tcPr>
                  <w:tcW w:w="627" w:type="dxa"/>
                  <w:noWrap w:val="0"/>
                  <w:vAlign w:val="center"/>
                </w:tcPr>
                <w:p>
                  <w:pPr>
                    <w:pStyle w:val="27"/>
                    <w:adjustRightInd w:val="0"/>
                    <w:snapToGrid w:val="0"/>
                    <w:spacing w:before="0" w:beforeAutospacing="0" w:after="0" w:afterAutospacing="0"/>
                    <w:jc w:val="center"/>
                    <w:rPr>
                      <w:rFonts w:ascii="Times New Roman" w:hAnsi="Times New Roman" w:cs="Times New Roman"/>
                      <w:color w:val="auto"/>
                      <w:sz w:val="21"/>
                      <w:szCs w:val="21"/>
                      <w:highlight w:val="none"/>
                      <w:lang w:bidi="ar"/>
                    </w:rPr>
                  </w:pPr>
                  <w:r>
                    <w:rPr>
                      <w:rFonts w:hint="eastAsia" w:ascii="Times New Roman" w:hAnsi="Times New Roman" w:cs="Times New Roman"/>
                      <w:color w:val="auto"/>
                      <w:sz w:val="21"/>
                      <w:szCs w:val="21"/>
                      <w:highlight w:val="none"/>
                      <w:lang w:bidi="ar"/>
                    </w:rPr>
                    <w:t>HW09</w:t>
                  </w:r>
                </w:p>
              </w:tc>
              <w:tc>
                <w:tcPr>
                  <w:tcW w:w="736" w:type="dxa"/>
                  <w:noWrap w:val="0"/>
                  <w:vAlign w:val="center"/>
                </w:tcPr>
                <w:p>
                  <w:pPr>
                    <w:widowControl/>
                    <w:jc w:val="center"/>
                    <w:rPr>
                      <w:color w:val="auto"/>
                      <w:kern w:val="0"/>
                      <w:szCs w:val="21"/>
                      <w:highlight w:val="none"/>
                      <w:lang w:bidi="ar"/>
                    </w:rPr>
                  </w:pPr>
                  <w:r>
                    <w:rPr>
                      <w:rFonts w:hint="eastAsia"/>
                      <w:color w:val="auto"/>
                      <w:kern w:val="0"/>
                      <w:szCs w:val="21"/>
                      <w:highlight w:val="none"/>
                      <w:lang w:bidi="ar"/>
                    </w:rPr>
                    <w:t>900-006-09</w:t>
                  </w:r>
                </w:p>
              </w:tc>
              <w:tc>
                <w:tcPr>
                  <w:tcW w:w="827" w:type="dxa"/>
                  <w:noWrap w:val="0"/>
                  <w:vAlign w:val="center"/>
                </w:tcPr>
                <w:p>
                  <w:pPr>
                    <w:adjustRightInd w:val="0"/>
                    <w:snapToGrid w:val="0"/>
                    <w:jc w:val="center"/>
                    <w:rPr>
                      <w:rFonts w:hint="default" w:eastAsia="宋体"/>
                      <w:color w:val="auto"/>
                      <w:szCs w:val="21"/>
                      <w:highlight w:val="none"/>
                      <w:lang w:val="en-US" w:eastAsia="zh-CN"/>
                    </w:rPr>
                  </w:pPr>
                  <w:r>
                    <w:rPr>
                      <w:rFonts w:hint="eastAsia"/>
                      <w:color w:val="auto"/>
                      <w:szCs w:val="21"/>
                      <w:highlight w:val="none"/>
                      <w:lang w:val="en-US" w:eastAsia="zh-CN"/>
                    </w:rPr>
                    <w:t>2.0</w:t>
                  </w:r>
                </w:p>
              </w:tc>
              <w:tc>
                <w:tcPr>
                  <w:tcW w:w="876" w:type="dxa"/>
                  <w:noWrap w:val="0"/>
                  <w:vAlign w:val="center"/>
                </w:tcPr>
                <w:p>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2.0</w:t>
                  </w:r>
                </w:p>
              </w:tc>
              <w:tc>
                <w:tcPr>
                  <w:tcW w:w="876" w:type="dxa"/>
                  <w:vMerge w:val="continue"/>
                  <w:noWrap w:val="0"/>
                  <w:vAlign w:val="center"/>
                </w:tcPr>
                <w:p>
                  <w:pPr>
                    <w:jc w:val="center"/>
                    <w:rPr>
                      <w:color w:val="auto"/>
                      <w:szCs w:val="21"/>
                      <w:highlight w:val="none"/>
                    </w:rPr>
                  </w:pPr>
                </w:p>
              </w:tc>
              <w:tc>
                <w:tcPr>
                  <w:tcW w:w="406" w:type="dxa"/>
                  <w:noWrap w:val="0"/>
                  <w:vAlign w:val="center"/>
                </w:tcPr>
                <w:p>
                  <w:pPr>
                    <w:adjustRightInd w:val="0"/>
                    <w:snapToGrid w:val="0"/>
                    <w:jc w:val="center"/>
                    <w:rPr>
                      <w:color w:val="auto"/>
                      <w:szCs w:val="21"/>
                      <w:highlight w:val="none"/>
                    </w:rPr>
                  </w:pPr>
                  <w:r>
                    <w:rPr>
                      <w:rFonts w:hint="eastAsia"/>
                      <w:color w:val="auto"/>
                      <w:szCs w:val="21"/>
                      <w:highlight w:val="none"/>
                    </w:rPr>
                    <w:t>液</w:t>
                  </w:r>
                </w:p>
              </w:tc>
              <w:tc>
                <w:tcPr>
                  <w:tcW w:w="707" w:type="dxa"/>
                  <w:noWrap w:val="0"/>
                  <w:vAlign w:val="center"/>
                </w:tcPr>
                <w:p>
                  <w:pPr>
                    <w:adjustRightInd w:val="0"/>
                    <w:snapToGrid w:val="0"/>
                    <w:jc w:val="center"/>
                    <w:rPr>
                      <w:color w:val="auto"/>
                      <w:szCs w:val="21"/>
                      <w:highlight w:val="none"/>
                    </w:rPr>
                  </w:pPr>
                  <w:r>
                    <w:rPr>
                      <w:color w:val="auto"/>
                      <w:szCs w:val="21"/>
                      <w:highlight w:val="none"/>
                    </w:rPr>
                    <w:t>废矿物油</w:t>
                  </w:r>
                </w:p>
              </w:tc>
              <w:tc>
                <w:tcPr>
                  <w:tcW w:w="747" w:type="dxa"/>
                  <w:vMerge w:val="continue"/>
                  <w:noWrap w:val="0"/>
                  <w:vAlign w:val="center"/>
                </w:tcPr>
                <w:p>
                  <w:pPr>
                    <w:widowControl/>
                    <w:jc w:val="center"/>
                    <w:rPr>
                      <w:color w:val="auto"/>
                      <w:szCs w:val="21"/>
                      <w:highlight w:val="none"/>
                    </w:rPr>
                  </w:pPr>
                </w:p>
              </w:tc>
              <w:tc>
                <w:tcPr>
                  <w:tcW w:w="2139" w:type="dxa"/>
                  <w:vMerge w:val="continue"/>
                  <w:noWrap w:val="0"/>
                  <w:vAlign w:val="center"/>
                </w:tcPr>
                <w:p>
                  <w:pPr>
                    <w:adjustRightInd w:val="0"/>
                    <w:snapToGrid w:val="0"/>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54" w:type="dxa"/>
                  <w:noWrap w:val="0"/>
                  <w:vAlign w:val="center"/>
                </w:tcPr>
                <w:p>
                  <w:pPr>
                    <w:keepNext w:val="0"/>
                    <w:keepLines w:val="0"/>
                    <w:pageBreakBefore w:val="0"/>
                    <w:widowControl w:val="0"/>
                    <w:kinsoku/>
                    <w:wordWrap/>
                    <w:overflowPunct/>
                    <w:topLinePunct w:val="0"/>
                    <w:autoSpaceDE/>
                    <w:autoSpaceDN/>
                    <w:bidi w:val="0"/>
                    <w:adjustRightInd w:val="0"/>
                    <w:snapToGrid w:val="0"/>
                    <w:ind w:firstLine="0"/>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4</w:t>
                  </w:r>
                </w:p>
              </w:tc>
              <w:tc>
                <w:tcPr>
                  <w:tcW w:w="860" w:type="dxa"/>
                  <w:noWrap w:val="0"/>
                  <w:vAlign w:val="center"/>
                </w:tcPr>
                <w:p>
                  <w:pPr>
                    <w:jc w:val="center"/>
                    <w:rPr>
                      <w:rFonts w:hint="eastAsia"/>
                      <w:color w:val="auto"/>
                      <w:szCs w:val="21"/>
                      <w:highlight w:val="none"/>
                    </w:rPr>
                  </w:pPr>
                  <w:r>
                    <w:rPr>
                      <w:rFonts w:hint="eastAsia"/>
                      <w:color w:val="auto"/>
                      <w:szCs w:val="21"/>
                      <w:highlight w:val="none"/>
                      <w:lang w:eastAsia="zh-CN"/>
                    </w:rPr>
                    <w:t>含油废抹布及废手套</w:t>
                  </w:r>
                </w:p>
              </w:tc>
              <w:tc>
                <w:tcPr>
                  <w:tcW w:w="627" w:type="dxa"/>
                  <w:noWrap w:val="0"/>
                  <w:vAlign w:val="center"/>
                </w:tcPr>
                <w:p>
                  <w:pPr>
                    <w:pStyle w:val="27"/>
                    <w:adjustRightInd w:val="0"/>
                    <w:snapToGrid w:val="0"/>
                    <w:spacing w:before="0" w:beforeAutospacing="0" w:after="0" w:afterAutospacing="0"/>
                    <w:jc w:val="center"/>
                    <w:rPr>
                      <w:rFonts w:ascii="Times New Roman" w:hAnsi="Times New Roman" w:cs="Times New Roman"/>
                      <w:color w:val="auto"/>
                      <w:sz w:val="21"/>
                      <w:szCs w:val="21"/>
                      <w:highlight w:val="none"/>
                      <w:lang w:bidi="ar"/>
                    </w:rPr>
                  </w:pPr>
                  <w:r>
                    <w:rPr>
                      <w:rFonts w:ascii="Times New Roman" w:hAnsi="Times New Roman" w:cs="Times New Roman"/>
                      <w:color w:val="auto"/>
                      <w:sz w:val="21"/>
                      <w:szCs w:val="21"/>
                      <w:highlight w:val="none"/>
                      <w:lang w:bidi="ar"/>
                    </w:rPr>
                    <w:t>HW</w:t>
                  </w:r>
                  <w:r>
                    <w:rPr>
                      <w:rFonts w:hint="eastAsia" w:ascii="Times New Roman" w:hAnsi="Times New Roman" w:cs="Times New Roman"/>
                      <w:color w:val="auto"/>
                      <w:sz w:val="21"/>
                      <w:szCs w:val="21"/>
                      <w:highlight w:val="none"/>
                      <w:lang w:bidi="ar"/>
                    </w:rPr>
                    <w:t>4</w:t>
                  </w:r>
                  <w:r>
                    <w:rPr>
                      <w:rFonts w:ascii="Times New Roman" w:hAnsi="Times New Roman" w:cs="Times New Roman"/>
                      <w:color w:val="auto"/>
                      <w:sz w:val="21"/>
                      <w:szCs w:val="21"/>
                      <w:highlight w:val="none"/>
                      <w:lang w:bidi="ar"/>
                    </w:rPr>
                    <w:t>9</w:t>
                  </w:r>
                </w:p>
              </w:tc>
              <w:tc>
                <w:tcPr>
                  <w:tcW w:w="736" w:type="dxa"/>
                  <w:noWrap w:val="0"/>
                  <w:vAlign w:val="center"/>
                </w:tcPr>
                <w:p>
                  <w:pPr>
                    <w:widowControl/>
                    <w:jc w:val="center"/>
                    <w:rPr>
                      <w:rFonts w:hint="eastAsia"/>
                      <w:color w:val="auto"/>
                      <w:kern w:val="0"/>
                      <w:szCs w:val="21"/>
                      <w:highlight w:val="none"/>
                      <w:lang w:bidi="ar"/>
                    </w:rPr>
                  </w:pPr>
                  <w:r>
                    <w:rPr>
                      <w:color w:val="auto"/>
                      <w:kern w:val="0"/>
                      <w:szCs w:val="21"/>
                      <w:highlight w:val="none"/>
                      <w:lang w:bidi="ar"/>
                    </w:rPr>
                    <w:t>900-0</w:t>
                  </w:r>
                  <w:r>
                    <w:rPr>
                      <w:rFonts w:hint="eastAsia"/>
                      <w:color w:val="auto"/>
                      <w:kern w:val="0"/>
                      <w:szCs w:val="21"/>
                      <w:highlight w:val="none"/>
                      <w:lang w:bidi="ar"/>
                    </w:rPr>
                    <w:t>41</w:t>
                  </w:r>
                  <w:r>
                    <w:rPr>
                      <w:color w:val="auto"/>
                      <w:kern w:val="0"/>
                      <w:szCs w:val="21"/>
                      <w:highlight w:val="none"/>
                      <w:lang w:bidi="ar"/>
                    </w:rPr>
                    <w:t>-</w:t>
                  </w:r>
                  <w:r>
                    <w:rPr>
                      <w:rFonts w:hint="eastAsia"/>
                      <w:color w:val="auto"/>
                      <w:kern w:val="0"/>
                      <w:szCs w:val="21"/>
                      <w:highlight w:val="none"/>
                      <w:lang w:bidi="ar"/>
                    </w:rPr>
                    <w:t>4</w:t>
                  </w:r>
                  <w:r>
                    <w:rPr>
                      <w:color w:val="auto"/>
                      <w:kern w:val="0"/>
                      <w:szCs w:val="21"/>
                      <w:highlight w:val="none"/>
                      <w:lang w:bidi="ar"/>
                    </w:rPr>
                    <w:t>9</w:t>
                  </w:r>
                </w:p>
              </w:tc>
              <w:tc>
                <w:tcPr>
                  <w:tcW w:w="827" w:type="dxa"/>
                  <w:noWrap w:val="0"/>
                  <w:vAlign w:val="center"/>
                </w:tcPr>
                <w:p>
                  <w:pPr>
                    <w:adjustRightInd w:val="0"/>
                    <w:snapToGrid w:val="0"/>
                    <w:jc w:val="center"/>
                    <w:rPr>
                      <w:rFonts w:hint="eastAsia"/>
                      <w:color w:val="auto"/>
                      <w:szCs w:val="21"/>
                      <w:highlight w:val="none"/>
                      <w:lang w:val="en-US" w:eastAsia="zh-CN"/>
                    </w:rPr>
                  </w:pPr>
                  <w:r>
                    <w:rPr>
                      <w:rFonts w:hint="eastAsia"/>
                      <w:color w:val="auto"/>
                      <w:szCs w:val="21"/>
                      <w:highlight w:val="none"/>
                      <w:lang w:val="en-US" w:eastAsia="zh-CN"/>
                    </w:rPr>
                    <w:t>1.0t</w:t>
                  </w:r>
                  <w:r>
                    <w:rPr>
                      <w:rFonts w:hint="eastAsia"/>
                      <w:color w:val="auto"/>
                      <w:szCs w:val="21"/>
                      <w:highlight w:val="none"/>
                    </w:rPr>
                    <w:t>/a</w:t>
                  </w:r>
                </w:p>
              </w:tc>
              <w:tc>
                <w:tcPr>
                  <w:tcW w:w="876" w:type="dxa"/>
                  <w:noWrap w:val="0"/>
                  <w:vAlign w:val="center"/>
                </w:tcPr>
                <w:p>
                  <w:pPr>
                    <w:adjustRightInd w:val="0"/>
                    <w:snapToGrid w:val="0"/>
                    <w:jc w:val="center"/>
                    <w:rPr>
                      <w:rFonts w:hint="eastAsia"/>
                      <w:color w:val="auto"/>
                      <w:szCs w:val="21"/>
                      <w:highlight w:val="none"/>
                      <w:lang w:val="en-US" w:eastAsia="zh-CN"/>
                    </w:rPr>
                  </w:pPr>
                  <w:r>
                    <w:rPr>
                      <w:rFonts w:hint="eastAsia"/>
                      <w:color w:val="auto"/>
                      <w:szCs w:val="21"/>
                      <w:highlight w:val="none"/>
                      <w:lang w:val="en-US" w:eastAsia="zh-CN"/>
                    </w:rPr>
                    <w:t>1.0t</w:t>
                  </w:r>
                  <w:r>
                    <w:rPr>
                      <w:rFonts w:hint="eastAsia"/>
                      <w:color w:val="auto"/>
                      <w:szCs w:val="21"/>
                      <w:highlight w:val="none"/>
                    </w:rPr>
                    <w:t>/a</w:t>
                  </w:r>
                </w:p>
              </w:tc>
              <w:tc>
                <w:tcPr>
                  <w:tcW w:w="876" w:type="dxa"/>
                  <w:noWrap w:val="0"/>
                  <w:vAlign w:val="center"/>
                </w:tcPr>
                <w:p>
                  <w:pPr>
                    <w:jc w:val="center"/>
                    <w:rPr>
                      <w:color w:val="auto"/>
                      <w:szCs w:val="21"/>
                      <w:highlight w:val="none"/>
                    </w:rPr>
                  </w:pPr>
                  <w:r>
                    <w:rPr>
                      <w:color w:val="auto"/>
                      <w:szCs w:val="21"/>
                      <w:highlight w:val="none"/>
                    </w:rPr>
                    <w:t>设备运转检修</w:t>
                  </w:r>
                </w:p>
              </w:tc>
              <w:tc>
                <w:tcPr>
                  <w:tcW w:w="406" w:type="dxa"/>
                  <w:noWrap w:val="0"/>
                  <w:vAlign w:val="center"/>
                </w:tcPr>
                <w:p>
                  <w:pPr>
                    <w:adjustRightInd w:val="0"/>
                    <w:snapToGrid w:val="0"/>
                    <w:jc w:val="center"/>
                    <w:rPr>
                      <w:rFonts w:hint="eastAsia" w:eastAsia="宋体"/>
                      <w:color w:val="auto"/>
                      <w:szCs w:val="21"/>
                      <w:highlight w:val="none"/>
                      <w:lang w:eastAsia="zh-CN"/>
                    </w:rPr>
                  </w:pPr>
                  <w:r>
                    <w:rPr>
                      <w:rFonts w:hint="eastAsia"/>
                      <w:color w:val="auto"/>
                      <w:szCs w:val="21"/>
                      <w:highlight w:val="none"/>
                      <w:lang w:eastAsia="zh-CN"/>
                    </w:rPr>
                    <w:t>固</w:t>
                  </w:r>
                </w:p>
              </w:tc>
              <w:tc>
                <w:tcPr>
                  <w:tcW w:w="707" w:type="dxa"/>
                  <w:noWrap w:val="0"/>
                  <w:vAlign w:val="center"/>
                </w:tcPr>
                <w:p>
                  <w:pPr>
                    <w:adjustRightInd w:val="0"/>
                    <w:snapToGrid w:val="0"/>
                    <w:jc w:val="center"/>
                    <w:rPr>
                      <w:color w:val="auto"/>
                      <w:szCs w:val="21"/>
                      <w:highlight w:val="none"/>
                    </w:rPr>
                  </w:pPr>
                  <w:r>
                    <w:rPr>
                      <w:color w:val="auto"/>
                      <w:szCs w:val="21"/>
                      <w:highlight w:val="none"/>
                    </w:rPr>
                    <w:t>废矿物油</w:t>
                  </w:r>
                </w:p>
              </w:tc>
              <w:tc>
                <w:tcPr>
                  <w:tcW w:w="747" w:type="dxa"/>
                  <w:noWrap w:val="0"/>
                  <w:vAlign w:val="center"/>
                </w:tcPr>
                <w:p>
                  <w:pPr>
                    <w:widowControl/>
                    <w:jc w:val="center"/>
                    <w:rPr>
                      <w:color w:val="auto"/>
                      <w:szCs w:val="21"/>
                      <w:highlight w:val="none"/>
                    </w:rPr>
                  </w:pPr>
                  <w:r>
                    <w:rPr>
                      <w:color w:val="auto"/>
                      <w:kern w:val="0"/>
                      <w:szCs w:val="21"/>
                      <w:highlight w:val="none"/>
                    </w:rPr>
                    <w:t>T，I</w:t>
                  </w:r>
                </w:p>
              </w:tc>
              <w:tc>
                <w:tcPr>
                  <w:tcW w:w="2139" w:type="dxa"/>
                  <w:vMerge w:val="continue"/>
                  <w:noWrap w:val="0"/>
                  <w:vAlign w:val="center"/>
                </w:tcPr>
                <w:p>
                  <w:pPr>
                    <w:adjustRightInd w:val="0"/>
                    <w:snapToGrid w:val="0"/>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54" w:type="dxa"/>
                  <w:noWrap w:val="0"/>
                  <w:vAlign w:val="center"/>
                </w:tcPr>
                <w:p>
                  <w:pPr>
                    <w:keepNext w:val="0"/>
                    <w:keepLines w:val="0"/>
                    <w:pageBreakBefore w:val="0"/>
                    <w:widowControl w:val="0"/>
                    <w:kinsoku/>
                    <w:wordWrap/>
                    <w:overflowPunct/>
                    <w:topLinePunct w:val="0"/>
                    <w:autoSpaceDE/>
                    <w:autoSpaceDN/>
                    <w:bidi w:val="0"/>
                    <w:adjustRightInd w:val="0"/>
                    <w:snapToGrid w:val="0"/>
                    <w:ind w:firstLine="0"/>
                    <w:jc w:val="center"/>
                    <w:textAlignment w:val="auto"/>
                    <w:rPr>
                      <w:rFonts w:hint="eastAsia" w:eastAsia="宋体"/>
                      <w:color w:val="auto"/>
                      <w:szCs w:val="21"/>
                      <w:highlight w:val="none"/>
                      <w:lang w:eastAsia="zh-CN"/>
                    </w:rPr>
                  </w:pPr>
                  <w:r>
                    <w:rPr>
                      <w:rFonts w:hint="eastAsia"/>
                      <w:color w:val="auto"/>
                      <w:szCs w:val="21"/>
                      <w:highlight w:val="none"/>
                      <w:lang w:val="en-US" w:eastAsia="zh-CN"/>
                    </w:rPr>
                    <w:t>5</w:t>
                  </w:r>
                </w:p>
              </w:tc>
              <w:tc>
                <w:tcPr>
                  <w:tcW w:w="860" w:type="dxa"/>
                  <w:noWrap w:val="0"/>
                  <w:vAlign w:val="center"/>
                </w:tcPr>
                <w:p>
                  <w:pPr>
                    <w:jc w:val="center"/>
                    <w:rPr>
                      <w:color w:val="auto"/>
                      <w:szCs w:val="21"/>
                      <w:highlight w:val="none"/>
                    </w:rPr>
                  </w:pPr>
                  <w:r>
                    <w:rPr>
                      <w:rFonts w:hint="eastAsia"/>
                      <w:color w:val="auto"/>
                      <w:szCs w:val="21"/>
                      <w:highlight w:val="none"/>
                      <w:lang w:eastAsia="zh-CN"/>
                    </w:rPr>
                    <w:t>废包装桶</w:t>
                  </w:r>
                </w:p>
              </w:tc>
              <w:tc>
                <w:tcPr>
                  <w:tcW w:w="627" w:type="dxa"/>
                  <w:noWrap w:val="0"/>
                  <w:vAlign w:val="center"/>
                </w:tcPr>
                <w:p>
                  <w:pPr>
                    <w:pStyle w:val="27"/>
                    <w:adjustRightInd w:val="0"/>
                    <w:snapToGrid w:val="0"/>
                    <w:spacing w:before="0" w:beforeAutospacing="0" w:after="0" w:afterAutospacing="0"/>
                    <w:jc w:val="center"/>
                    <w:rPr>
                      <w:rFonts w:hint="eastAsia" w:ascii="Times New Roman" w:hAnsi="Times New Roman" w:eastAsia="宋体" w:cs="Times New Roman"/>
                      <w:color w:val="auto"/>
                      <w:sz w:val="21"/>
                      <w:szCs w:val="21"/>
                      <w:highlight w:val="none"/>
                      <w:lang w:eastAsia="zh-CN" w:bidi="ar"/>
                    </w:rPr>
                  </w:pPr>
                  <w:r>
                    <w:rPr>
                      <w:rFonts w:hint="eastAsia" w:ascii="Times New Roman" w:hAnsi="Times New Roman" w:cs="Times New Roman"/>
                      <w:color w:val="auto"/>
                      <w:sz w:val="21"/>
                      <w:szCs w:val="21"/>
                      <w:highlight w:val="none"/>
                      <w:lang w:bidi="ar"/>
                    </w:rPr>
                    <w:t>HW0</w:t>
                  </w:r>
                  <w:r>
                    <w:rPr>
                      <w:rFonts w:hint="eastAsia" w:ascii="Times New Roman" w:hAnsi="Times New Roman" w:cs="Times New Roman"/>
                      <w:color w:val="auto"/>
                      <w:sz w:val="21"/>
                      <w:szCs w:val="21"/>
                      <w:highlight w:val="none"/>
                      <w:lang w:val="en-US" w:eastAsia="zh-CN" w:bidi="ar"/>
                    </w:rPr>
                    <w:t>8</w:t>
                  </w:r>
                </w:p>
              </w:tc>
              <w:tc>
                <w:tcPr>
                  <w:tcW w:w="736" w:type="dxa"/>
                  <w:noWrap w:val="0"/>
                  <w:vAlign w:val="center"/>
                </w:tcPr>
                <w:p>
                  <w:pPr>
                    <w:widowControl/>
                    <w:jc w:val="center"/>
                    <w:rPr>
                      <w:rFonts w:hint="eastAsia" w:eastAsia="宋体"/>
                      <w:color w:val="auto"/>
                      <w:kern w:val="0"/>
                      <w:szCs w:val="21"/>
                      <w:highlight w:val="none"/>
                      <w:lang w:eastAsia="zh-CN" w:bidi="ar"/>
                    </w:rPr>
                  </w:pPr>
                  <w:r>
                    <w:rPr>
                      <w:rFonts w:hint="eastAsia"/>
                      <w:color w:val="auto"/>
                      <w:kern w:val="0"/>
                      <w:szCs w:val="21"/>
                      <w:highlight w:val="none"/>
                      <w:lang w:bidi="ar"/>
                    </w:rPr>
                    <w:t>900-</w:t>
                  </w:r>
                  <w:r>
                    <w:rPr>
                      <w:rFonts w:hint="eastAsia"/>
                      <w:color w:val="auto"/>
                      <w:kern w:val="0"/>
                      <w:szCs w:val="21"/>
                      <w:highlight w:val="none"/>
                      <w:lang w:val="en-US" w:eastAsia="zh-CN" w:bidi="ar"/>
                    </w:rPr>
                    <w:t>249</w:t>
                  </w:r>
                  <w:r>
                    <w:rPr>
                      <w:rFonts w:hint="eastAsia"/>
                      <w:color w:val="auto"/>
                      <w:kern w:val="0"/>
                      <w:szCs w:val="21"/>
                      <w:highlight w:val="none"/>
                      <w:lang w:bidi="ar"/>
                    </w:rPr>
                    <w:t>-0</w:t>
                  </w:r>
                  <w:r>
                    <w:rPr>
                      <w:rFonts w:hint="eastAsia"/>
                      <w:color w:val="auto"/>
                      <w:kern w:val="0"/>
                      <w:szCs w:val="21"/>
                      <w:highlight w:val="none"/>
                      <w:lang w:val="en-US" w:eastAsia="zh-CN" w:bidi="ar"/>
                    </w:rPr>
                    <w:t>8</w:t>
                  </w:r>
                </w:p>
              </w:tc>
              <w:tc>
                <w:tcPr>
                  <w:tcW w:w="827" w:type="dxa"/>
                  <w:noWrap w:val="0"/>
                  <w:vAlign w:val="center"/>
                </w:tcPr>
                <w:p>
                  <w:pPr>
                    <w:adjustRightInd w:val="0"/>
                    <w:snapToGrid w:val="0"/>
                    <w:jc w:val="center"/>
                    <w:rPr>
                      <w:color w:val="auto"/>
                      <w:szCs w:val="21"/>
                      <w:highlight w:val="none"/>
                    </w:rPr>
                  </w:pPr>
                  <w:r>
                    <w:rPr>
                      <w:rFonts w:hint="eastAsia"/>
                      <w:color w:val="auto"/>
                      <w:szCs w:val="21"/>
                      <w:highlight w:val="none"/>
                      <w:lang w:val="en-US" w:eastAsia="zh-CN"/>
                    </w:rPr>
                    <w:t>40</w:t>
                  </w:r>
                  <w:r>
                    <w:rPr>
                      <w:rFonts w:hint="eastAsia"/>
                      <w:color w:val="auto"/>
                      <w:szCs w:val="21"/>
                      <w:highlight w:val="none"/>
                    </w:rPr>
                    <w:t>个/a</w:t>
                  </w:r>
                </w:p>
              </w:tc>
              <w:tc>
                <w:tcPr>
                  <w:tcW w:w="876" w:type="dxa"/>
                  <w:noWrap w:val="0"/>
                  <w:vAlign w:val="center"/>
                </w:tcPr>
                <w:p>
                  <w:pPr>
                    <w:adjustRightInd w:val="0"/>
                    <w:snapToGrid w:val="0"/>
                    <w:jc w:val="center"/>
                    <w:rPr>
                      <w:rFonts w:hint="eastAsia"/>
                      <w:color w:val="auto"/>
                      <w:szCs w:val="21"/>
                      <w:highlight w:val="none"/>
                      <w:lang w:val="en-US" w:eastAsia="zh-CN"/>
                    </w:rPr>
                  </w:pPr>
                  <w:r>
                    <w:rPr>
                      <w:rFonts w:hint="eastAsia"/>
                      <w:color w:val="auto"/>
                      <w:szCs w:val="21"/>
                      <w:highlight w:val="none"/>
                      <w:lang w:val="en-US" w:eastAsia="zh-CN"/>
                    </w:rPr>
                    <w:t>48</w:t>
                  </w:r>
                  <w:r>
                    <w:rPr>
                      <w:rFonts w:hint="eastAsia"/>
                      <w:color w:val="auto"/>
                      <w:szCs w:val="21"/>
                      <w:highlight w:val="none"/>
                    </w:rPr>
                    <w:t>个/a</w:t>
                  </w:r>
                </w:p>
              </w:tc>
              <w:tc>
                <w:tcPr>
                  <w:tcW w:w="876" w:type="dxa"/>
                  <w:noWrap w:val="0"/>
                  <w:vAlign w:val="center"/>
                </w:tcPr>
                <w:p>
                  <w:pPr>
                    <w:jc w:val="center"/>
                    <w:rPr>
                      <w:rFonts w:hint="eastAsia"/>
                      <w:color w:val="auto"/>
                      <w:szCs w:val="21"/>
                      <w:highlight w:val="none"/>
                    </w:rPr>
                  </w:pPr>
                  <w:r>
                    <w:rPr>
                      <w:color w:val="auto"/>
                      <w:szCs w:val="21"/>
                      <w:highlight w:val="none"/>
                    </w:rPr>
                    <w:t>设备运转检修</w:t>
                  </w:r>
                </w:p>
              </w:tc>
              <w:tc>
                <w:tcPr>
                  <w:tcW w:w="406" w:type="dxa"/>
                  <w:noWrap w:val="0"/>
                  <w:vAlign w:val="center"/>
                </w:tcPr>
                <w:p>
                  <w:pPr>
                    <w:adjustRightInd w:val="0"/>
                    <w:snapToGrid w:val="0"/>
                    <w:jc w:val="center"/>
                    <w:rPr>
                      <w:color w:val="auto"/>
                      <w:szCs w:val="21"/>
                      <w:highlight w:val="none"/>
                    </w:rPr>
                  </w:pPr>
                  <w:r>
                    <w:rPr>
                      <w:color w:val="auto"/>
                      <w:szCs w:val="21"/>
                      <w:highlight w:val="none"/>
                    </w:rPr>
                    <w:t>固</w:t>
                  </w:r>
                </w:p>
              </w:tc>
              <w:tc>
                <w:tcPr>
                  <w:tcW w:w="707" w:type="dxa"/>
                  <w:noWrap w:val="0"/>
                  <w:vAlign w:val="center"/>
                </w:tcPr>
                <w:p>
                  <w:pPr>
                    <w:adjustRightInd w:val="0"/>
                    <w:snapToGrid w:val="0"/>
                    <w:jc w:val="center"/>
                    <w:rPr>
                      <w:color w:val="auto"/>
                      <w:szCs w:val="21"/>
                      <w:highlight w:val="none"/>
                    </w:rPr>
                  </w:pPr>
                  <w:r>
                    <w:rPr>
                      <w:rFonts w:hint="eastAsia"/>
                      <w:color w:val="auto"/>
                      <w:szCs w:val="21"/>
                      <w:highlight w:val="none"/>
                    </w:rPr>
                    <w:t>废</w:t>
                  </w:r>
                  <w:r>
                    <w:rPr>
                      <w:color w:val="auto"/>
                      <w:szCs w:val="21"/>
                      <w:highlight w:val="none"/>
                    </w:rPr>
                    <w:t>矿物油</w:t>
                  </w:r>
                </w:p>
              </w:tc>
              <w:tc>
                <w:tcPr>
                  <w:tcW w:w="747" w:type="dxa"/>
                  <w:noWrap w:val="0"/>
                  <w:vAlign w:val="center"/>
                </w:tcPr>
                <w:p>
                  <w:pPr>
                    <w:widowControl/>
                    <w:jc w:val="center"/>
                    <w:rPr>
                      <w:color w:val="auto"/>
                      <w:szCs w:val="21"/>
                      <w:highlight w:val="none"/>
                    </w:rPr>
                  </w:pPr>
                  <w:r>
                    <w:rPr>
                      <w:color w:val="auto"/>
                      <w:kern w:val="0"/>
                      <w:szCs w:val="21"/>
                      <w:highlight w:val="none"/>
                    </w:rPr>
                    <w:t>T</w:t>
                  </w:r>
                </w:p>
              </w:tc>
              <w:tc>
                <w:tcPr>
                  <w:tcW w:w="2139" w:type="dxa"/>
                  <w:noWrap w:val="0"/>
                  <w:vAlign w:val="center"/>
                </w:tcPr>
                <w:p>
                  <w:pPr>
                    <w:adjustRightInd w:val="0"/>
                    <w:snapToGrid w:val="0"/>
                    <w:jc w:val="center"/>
                    <w:rPr>
                      <w:color w:val="auto"/>
                      <w:szCs w:val="21"/>
                      <w:highlight w:val="none"/>
                    </w:rPr>
                  </w:pPr>
                  <w:r>
                    <w:rPr>
                      <w:color w:val="auto"/>
                      <w:szCs w:val="21"/>
                      <w:highlight w:val="none"/>
                    </w:rPr>
                    <w:t>原盖封存，暂存于危废暂存间，委托有资质单位处理</w:t>
                  </w:r>
                </w:p>
              </w:tc>
            </w:tr>
          </w:tbl>
          <w:p>
            <w:pPr>
              <w:adjustRightInd w:val="0"/>
              <w:snapToGrid w:val="0"/>
              <w:spacing w:line="440" w:lineRule="exact"/>
              <w:ind w:firstLine="480" w:firstLineChars="200"/>
              <w:rPr>
                <w:rFonts w:hint="eastAsia" w:eastAsia="宋体"/>
                <w:color w:val="auto"/>
                <w:spacing w:val="8"/>
                <w:kern w:val="24"/>
                <w:sz w:val="24"/>
                <w:highlight w:val="none"/>
                <w:lang w:eastAsia="zh-CN"/>
              </w:rPr>
            </w:pPr>
            <w:r>
              <w:rPr>
                <w:snapToGrid w:val="0"/>
                <w:color w:val="auto"/>
                <w:kern w:val="0"/>
                <w:sz w:val="24"/>
                <w:highlight w:val="none"/>
              </w:rPr>
              <w:t>废</w:t>
            </w:r>
            <w:r>
              <w:rPr>
                <w:color w:val="auto"/>
                <w:spacing w:val="8"/>
                <w:kern w:val="24"/>
                <w:sz w:val="24"/>
                <w:highlight w:val="none"/>
              </w:rPr>
              <w:t>液压油</w:t>
            </w:r>
            <w:r>
              <w:rPr>
                <w:rFonts w:hint="eastAsia"/>
                <w:color w:val="auto"/>
                <w:spacing w:val="8"/>
                <w:kern w:val="24"/>
                <w:sz w:val="24"/>
                <w:highlight w:val="none"/>
                <w:lang w:eastAsia="zh-CN"/>
              </w:rPr>
              <w:t>产生量为</w:t>
            </w:r>
            <w:r>
              <w:rPr>
                <w:rFonts w:hint="eastAsia"/>
                <w:color w:val="auto"/>
                <w:spacing w:val="8"/>
                <w:kern w:val="24"/>
                <w:sz w:val="24"/>
                <w:highlight w:val="none"/>
                <w:lang w:val="en-US" w:eastAsia="zh-CN"/>
              </w:rPr>
              <w:t>0.2t/a</w:t>
            </w:r>
            <w:r>
              <w:rPr>
                <w:rFonts w:hint="eastAsia"/>
                <w:color w:val="auto"/>
                <w:spacing w:val="8"/>
                <w:kern w:val="24"/>
                <w:sz w:val="24"/>
                <w:highlight w:val="none"/>
                <w:lang w:eastAsia="zh-CN"/>
              </w:rPr>
              <w:t>（现有工程产生量为</w:t>
            </w:r>
            <w:r>
              <w:rPr>
                <w:rFonts w:hint="eastAsia"/>
                <w:color w:val="auto"/>
                <w:spacing w:val="8"/>
                <w:kern w:val="24"/>
                <w:sz w:val="24"/>
                <w:highlight w:val="none"/>
                <w:lang w:val="en-US" w:eastAsia="zh-CN"/>
              </w:rPr>
              <w:t>0.1</w:t>
            </w:r>
            <w:r>
              <w:rPr>
                <w:rFonts w:hint="eastAsia"/>
                <w:color w:val="auto"/>
                <w:spacing w:val="8"/>
                <w:kern w:val="24"/>
                <w:sz w:val="24"/>
                <w:highlight w:val="none"/>
              </w:rPr>
              <w:t>t/a</w:t>
            </w:r>
            <w:r>
              <w:rPr>
                <w:rFonts w:hint="eastAsia"/>
                <w:color w:val="auto"/>
                <w:spacing w:val="8"/>
                <w:kern w:val="24"/>
                <w:sz w:val="24"/>
                <w:highlight w:val="none"/>
                <w:lang w:eastAsia="zh-CN"/>
              </w:rPr>
              <w:t>，技改项目产生量为</w:t>
            </w:r>
            <w:r>
              <w:rPr>
                <w:rFonts w:hint="eastAsia"/>
                <w:color w:val="auto"/>
                <w:spacing w:val="8"/>
                <w:kern w:val="24"/>
                <w:sz w:val="24"/>
                <w:highlight w:val="none"/>
                <w:lang w:val="en-US" w:eastAsia="zh-CN"/>
              </w:rPr>
              <w:t>0.1</w:t>
            </w:r>
            <w:r>
              <w:rPr>
                <w:rFonts w:hint="eastAsia"/>
                <w:color w:val="auto"/>
                <w:spacing w:val="8"/>
                <w:kern w:val="24"/>
                <w:sz w:val="24"/>
                <w:highlight w:val="none"/>
              </w:rPr>
              <w:t>t/a</w:t>
            </w:r>
            <w:r>
              <w:rPr>
                <w:rFonts w:hint="eastAsia"/>
                <w:color w:val="auto"/>
                <w:spacing w:val="8"/>
                <w:kern w:val="24"/>
                <w:sz w:val="24"/>
                <w:highlight w:val="none"/>
                <w:lang w:eastAsia="zh-CN"/>
              </w:rPr>
              <w:t>），</w:t>
            </w:r>
          </w:p>
          <w:p>
            <w:pPr>
              <w:adjustRightInd w:val="0"/>
              <w:snapToGrid w:val="0"/>
              <w:spacing w:line="440" w:lineRule="exact"/>
              <w:rPr>
                <w:rFonts w:hint="eastAsia" w:eastAsia="宋体"/>
                <w:color w:val="auto"/>
                <w:spacing w:val="8"/>
                <w:kern w:val="24"/>
                <w:sz w:val="24"/>
                <w:highlight w:val="none"/>
                <w:lang w:eastAsia="zh-CN"/>
              </w:rPr>
            </w:pPr>
            <w:r>
              <w:rPr>
                <w:rFonts w:hint="eastAsia"/>
                <w:color w:val="auto"/>
                <w:spacing w:val="8"/>
                <w:kern w:val="24"/>
                <w:sz w:val="24"/>
                <w:highlight w:val="none"/>
              </w:rPr>
              <w:t>废润滑油</w:t>
            </w:r>
            <w:r>
              <w:rPr>
                <w:rFonts w:hint="eastAsia"/>
                <w:color w:val="auto"/>
                <w:spacing w:val="8"/>
                <w:kern w:val="24"/>
                <w:sz w:val="24"/>
                <w:highlight w:val="none"/>
                <w:lang w:eastAsia="zh-CN"/>
              </w:rPr>
              <w:t>产生量为</w:t>
            </w:r>
            <w:r>
              <w:rPr>
                <w:rFonts w:hint="eastAsia"/>
                <w:color w:val="auto"/>
                <w:spacing w:val="8"/>
                <w:kern w:val="24"/>
                <w:sz w:val="24"/>
                <w:highlight w:val="none"/>
                <w:lang w:val="en-US" w:eastAsia="zh-CN"/>
              </w:rPr>
              <w:t>0.2t/a</w:t>
            </w:r>
            <w:r>
              <w:rPr>
                <w:rFonts w:hint="eastAsia"/>
                <w:color w:val="auto"/>
                <w:spacing w:val="8"/>
                <w:kern w:val="24"/>
                <w:sz w:val="24"/>
                <w:highlight w:val="none"/>
                <w:lang w:eastAsia="zh-CN"/>
              </w:rPr>
              <w:t>（现有工程产生量为</w:t>
            </w:r>
            <w:r>
              <w:rPr>
                <w:rFonts w:hint="eastAsia"/>
                <w:color w:val="auto"/>
                <w:spacing w:val="8"/>
                <w:kern w:val="24"/>
                <w:sz w:val="24"/>
                <w:highlight w:val="none"/>
                <w:lang w:val="en-US" w:eastAsia="zh-CN"/>
              </w:rPr>
              <w:t>0.1</w:t>
            </w:r>
            <w:r>
              <w:rPr>
                <w:rFonts w:hint="eastAsia"/>
                <w:color w:val="auto"/>
                <w:spacing w:val="8"/>
                <w:kern w:val="24"/>
                <w:sz w:val="24"/>
                <w:highlight w:val="none"/>
              </w:rPr>
              <w:t>t/a</w:t>
            </w:r>
            <w:r>
              <w:rPr>
                <w:rFonts w:hint="eastAsia"/>
                <w:color w:val="auto"/>
                <w:spacing w:val="8"/>
                <w:kern w:val="24"/>
                <w:sz w:val="24"/>
                <w:highlight w:val="none"/>
                <w:lang w:eastAsia="zh-CN"/>
              </w:rPr>
              <w:t>，技改项目产生量为</w:t>
            </w:r>
            <w:r>
              <w:rPr>
                <w:rFonts w:hint="eastAsia"/>
                <w:color w:val="auto"/>
                <w:spacing w:val="8"/>
                <w:kern w:val="24"/>
                <w:sz w:val="24"/>
                <w:highlight w:val="none"/>
                <w:lang w:val="en-US" w:eastAsia="zh-CN"/>
              </w:rPr>
              <w:t>0.1</w:t>
            </w:r>
            <w:r>
              <w:rPr>
                <w:rFonts w:hint="eastAsia"/>
                <w:color w:val="auto"/>
                <w:spacing w:val="8"/>
                <w:kern w:val="24"/>
                <w:sz w:val="24"/>
                <w:highlight w:val="none"/>
              </w:rPr>
              <w:t>t/a</w:t>
            </w:r>
            <w:r>
              <w:rPr>
                <w:rFonts w:hint="eastAsia"/>
                <w:color w:val="auto"/>
                <w:spacing w:val="8"/>
                <w:kern w:val="24"/>
                <w:sz w:val="24"/>
                <w:highlight w:val="none"/>
                <w:lang w:eastAsia="zh-CN"/>
              </w:rPr>
              <w:t>），</w:t>
            </w:r>
            <w:r>
              <w:rPr>
                <w:rFonts w:hint="eastAsia"/>
                <w:color w:val="auto"/>
                <w:spacing w:val="8"/>
                <w:kern w:val="24"/>
                <w:sz w:val="24"/>
                <w:highlight w:val="none"/>
              </w:rPr>
              <w:t>废切削液</w:t>
            </w:r>
            <w:r>
              <w:rPr>
                <w:rFonts w:hint="eastAsia"/>
                <w:color w:val="auto"/>
                <w:spacing w:val="8"/>
                <w:kern w:val="24"/>
                <w:sz w:val="24"/>
                <w:highlight w:val="none"/>
                <w:lang w:eastAsia="zh-CN"/>
              </w:rPr>
              <w:t>产生量为</w:t>
            </w:r>
            <w:r>
              <w:rPr>
                <w:rFonts w:hint="eastAsia"/>
                <w:color w:val="auto"/>
                <w:spacing w:val="8"/>
                <w:kern w:val="24"/>
                <w:sz w:val="24"/>
                <w:highlight w:val="none"/>
                <w:lang w:val="en-US" w:eastAsia="zh-CN"/>
              </w:rPr>
              <w:t>4.0t/a</w:t>
            </w:r>
            <w:r>
              <w:rPr>
                <w:rFonts w:hint="eastAsia"/>
                <w:color w:val="auto"/>
                <w:spacing w:val="8"/>
                <w:kern w:val="24"/>
                <w:sz w:val="24"/>
                <w:highlight w:val="none"/>
                <w:lang w:eastAsia="zh-CN"/>
              </w:rPr>
              <w:t>（现有工程产生量为</w:t>
            </w:r>
            <w:r>
              <w:rPr>
                <w:rFonts w:hint="eastAsia"/>
                <w:color w:val="auto"/>
                <w:spacing w:val="8"/>
                <w:kern w:val="24"/>
                <w:sz w:val="24"/>
                <w:highlight w:val="none"/>
                <w:lang w:val="en-US" w:eastAsia="zh-CN"/>
              </w:rPr>
              <w:t>2.0</w:t>
            </w:r>
            <w:r>
              <w:rPr>
                <w:rFonts w:hint="eastAsia"/>
                <w:color w:val="auto"/>
                <w:spacing w:val="8"/>
                <w:kern w:val="24"/>
                <w:sz w:val="24"/>
                <w:highlight w:val="none"/>
              </w:rPr>
              <w:t>t/a</w:t>
            </w:r>
            <w:r>
              <w:rPr>
                <w:rFonts w:hint="eastAsia"/>
                <w:color w:val="auto"/>
                <w:spacing w:val="8"/>
                <w:kern w:val="24"/>
                <w:sz w:val="24"/>
                <w:highlight w:val="none"/>
                <w:lang w:eastAsia="zh-CN"/>
              </w:rPr>
              <w:t>，技改项目产生量为</w:t>
            </w:r>
            <w:r>
              <w:rPr>
                <w:rFonts w:hint="eastAsia"/>
                <w:color w:val="auto"/>
                <w:spacing w:val="8"/>
                <w:kern w:val="24"/>
                <w:sz w:val="24"/>
                <w:highlight w:val="none"/>
                <w:lang w:val="en-US" w:eastAsia="zh-CN"/>
              </w:rPr>
              <w:t>2.0</w:t>
            </w:r>
            <w:r>
              <w:rPr>
                <w:rFonts w:hint="eastAsia"/>
                <w:color w:val="auto"/>
                <w:spacing w:val="8"/>
                <w:kern w:val="24"/>
                <w:sz w:val="24"/>
                <w:highlight w:val="none"/>
              </w:rPr>
              <w:t>t/a</w:t>
            </w:r>
            <w:r>
              <w:rPr>
                <w:rFonts w:hint="eastAsia"/>
                <w:color w:val="auto"/>
                <w:spacing w:val="8"/>
                <w:kern w:val="24"/>
                <w:sz w:val="24"/>
                <w:highlight w:val="none"/>
                <w:lang w:eastAsia="zh-CN"/>
              </w:rPr>
              <w:t>），废包装桶产生量为</w:t>
            </w:r>
            <w:r>
              <w:rPr>
                <w:rFonts w:hint="eastAsia"/>
                <w:color w:val="auto"/>
                <w:spacing w:val="8"/>
                <w:kern w:val="24"/>
                <w:sz w:val="24"/>
                <w:highlight w:val="none"/>
                <w:lang w:val="en-US" w:eastAsia="zh-CN"/>
              </w:rPr>
              <w:t>88个/a</w:t>
            </w:r>
            <w:r>
              <w:rPr>
                <w:rFonts w:hint="eastAsia"/>
                <w:color w:val="auto"/>
                <w:spacing w:val="8"/>
                <w:kern w:val="24"/>
                <w:sz w:val="24"/>
                <w:highlight w:val="none"/>
                <w:lang w:eastAsia="zh-CN"/>
              </w:rPr>
              <w:t>（现有工程产生量为</w:t>
            </w:r>
            <w:r>
              <w:rPr>
                <w:rFonts w:hint="eastAsia"/>
                <w:color w:val="auto"/>
                <w:spacing w:val="8"/>
                <w:kern w:val="24"/>
                <w:sz w:val="24"/>
                <w:highlight w:val="none"/>
                <w:lang w:val="en-US" w:eastAsia="zh-CN"/>
              </w:rPr>
              <w:t>40个</w:t>
            </w:r>
            <w:r>
              <w:rPr>
                <w:rFonts w:hint="eastAsia"/>
                <w:color w:val="auto"/>
                <w:spacing w:val="8"/>
                <w:kern w:val="24"/>
                <w:sz w:val="24"/>
                <w:highlight w:val="none"/>
              </w:rPr>
              <w:t>/a</w:t>
            </w:r>
            <w:r>
              <w:rPr>
                <w:rFonts w:hint="eastAsia"/>
                <w:color w:val="auto"/>
                <w:spacing w:val="8"/>
                <w:kern w:val="24"/>
                <w:sz w:val="24"/>
                <w:highlight w:val="none"/>
                <w:lang w:eastAsia="zh-CN"/>
              </w:rPr>
              <w:t>，技改项目产生量为</w:t>
            </w:r>
            <w:r>
              <w:rPr>
                <w:rFonts w:hint="eastAsia"/>
                <w:color w:val="auto"/>
                <w:spacing w:val="8"/>
                <w:kern w:val="24"/>
                <w:sz w:val="24"/>
                <w:highlight w:val="none"/>
                <w:lang w:val="en-US" w:eastAsia="zh-CN"/>
              </w:rPr>
              <w:t>48个</w:t>
            </w:r>
            <w:r>
              <w:rPr>
                <w:rFonts w:hint="eastAsia"/>
                <w:color w:val="auto"/>
                <w:spacing w:val="8"/>
                <w:kern w:val="24"/>
                <w:sz w:val="24"/>
                <w:highlight w:val="none"/>
              </w:rPr>
              <w:t>/a</w:t>
            </w:r>
            <w:r>
              <w:rPr>
                <w:rFonts w:hint="eastAsia"/>
                <w:color w:val="auto"/>
                <w:spacing w:val="8"/>
                <w:kern w:val="24"/>
                <w:sz w:val="24"/>
                <w:highlight w:val="none"/>
                <w:lang w:eastAsia="zh-CN"/>
              </w:rPr>
              <w:t>）含油废抹布及废手套产生量为</w:t>
            </w:r>
            <w:r>
              <w:rPr>
                <w:rFonts w:hint="eastAsia"/>
                <w:color w:val="auto"/>
                <w:spacing w:val="8"/>
                <w:kern w:val="24"/>
                <w:sz w:val="24"/>
                <w:highlight w:val="none"/>
                <w:lang w:val="en-US" w:eastAsia="zh-CN"/>
              </w:rPr>
              <w:t>2.0t/a</w:t>
            </w:r>
            <w:r>
              <w:rPr>
                <w:rFonts w:hint="eastAsia"/>
                <w:color w:val="auto"/>
                <w:spacing w:val="8"/>
                <w:kern w:val="24"/>
                <w:sz w:val="24"/>
                <w:highlight w:val="none"/>
                <w:lang w:eastAsia="zh-CN"/>
              </w:rPr>
              <w:t>（现有工程产生量为</w:t>
            </w:r>
            <w:r>
              <w:rPr>
                <w:rFonts w:hint="eastAsia"/>
                <w:color w:val="auto"/>
                <w:spacing w:val="8"/>
                <w:kern w:val="24"/>
                <w:sz w:val="24"/>
                <w:highlight w:val="none"/>
                <w:lang w:val="en-US" w:eastAsia="zh-CN"/>
              </w:rPr>
              <w:t>1.0</w:t>
            </w:r>
            <w:r>
              <w:rPr>
                <w:rFonts w:hint="eastAsia"/>
                <w:color w:val="auto"/>
                <w:spacing w:val="8"/>
                <w:kern w:val="24"/>
                <w:sz w:val="24"/>
                <w:highlight w:val="none"/>
              </w:rPr>
              <w:t>t/a</w:t>
            </w:r>
            <w:r>
              <w:rPr>
                <w:rFonts w:hint="eastAsia"/>
                <w:color w:val="auto"/>
                <w:spacing w:val="8"/>
                <w:kern w:val="24"/>
                <w:sz w:val="24"/>
                <w:highlight w:val="none"/>
                <w:lang w:eastAsia="zh-CN"/>
              </w:rPr>
              <w:t>，技改项目产生量为</w:t>
            </w:r>
            <w:r>
              <w:rPr>
                <w:rFonts w:hint="eastAsia"/>
                <w:color w:val="auto"/>
                <w:spacing w:val="8"/>
                <w:kern w:val="24"/>
                <w:sz w:val="24"/>
                <w:highlight w:val="none"/>
                <w:lang w:val="en-US" w:eastAsia="zh-CN"/>
              </w:rPr>
              <w:t>1.0</w:t>
            </w:r>
            <w:r>
              <w:rPr>
                <w:rFonts w:hint="eastAsia"/>
                <w:color w:val="auto"/>
                <w:spacing w:val="8"/>
                <w:kern w:val="24"/>
                <w:sz w:val="24"/>
                <w:highlight w:val="none"/>
              </w:rPr>
              <w:t>t/a</w:t>
            </w:r>
            <w:r>
              <w:rPr>
                <w:rFonts w:hint="eastAsia"/>
                <w:color w:val="auto"/>
                <w:spacing w:val="8"/>
                <w:kern w:val="24"/>
                <w:sz w:val="24"/>
                <w:highlight w:val="none"/>
                <w:lang w:eastAsia="zh-CN"/>
              </w:rPr>
              <w:t>）。</w:t>
            </w:r>
          </w:p>
          <w:p>
            <w:pPr>
              <w:adjustRightInd w:val="0"/>
              <w:snapToGrid w:val="0"/>
              <w:spacing w:line="440" w:lineRule="exact"/>
              <w:ind w:firstLine="512" w:firstLineChars="200"/>
              <w:rPr>
                <w:color w:val="auto"/>
                <w:sz w:val="24"/>
                <w:highlight w:val="none"/>
              </w:rPr>
            </w:pPr>
            <w:r>
              <w:rPr>
                <w:color w:val="auto"/>
                <w:spacing w:val="8"/>
                <w:kern w:val="24"/>
                <w:sz w:val="24"/>
                <w:highlight w:val="none"/>
              </w:rPr>
              <w:t>本</w:t>
            </w:r>
            <w:r>
              <w:rPr>
                <w:rFonts w:hint="eastAsia"/>
                <w:color w:val="auto"/>
                <w:spacing w:val="8"/>
                <w:kern w:val="24"/>
                <w:sz w:val="24"/>
                <w:highlight w:val="none"/>
                <w:lang w:eastAsia="zh-CN"/>
              </w:rPr>
              <w:t>次技改</w:t>
            </w:r>
            <w:r>
              <w:rPr>
                <w:color w:val="auto"/>
                <w:spacing w:val="8"/>
                <w:kern w:val="24"/>
                <w:sz w:val="24"/>
                <w:highlight w:val="none"/>
              </w:rPr>
              <w:t>项目产生的</w:t>
            </w:r>
            <w:r>
              <w:rPr>
                <w:snapToGrid w:val="0"/>
                <w:color w:val="auto"/>
                <w:kern w:val="0"/>
                <w:sz w:val="24"/>
                <w:highlight w:val="none"/>
              </w:rPr>
              <w:t>废</w:t>
            </w:r>
            <w:r>
              <w:rPr>
                <w:color w:val="auto"/>
                <w:spacing w:val="8"/>
                <w:kern w:val="24"/>
                <w:sz w:val="24"/>
                <w:highlight w:val="none"/>
              </w:rPr>
              <w:t>液压油</w:t>
            </w:r>
            <w:r>
              <w:rPr>
                <w:rFonts w:hint="eastAsia"/>
                <w:color w:val="auto"/>
                <w:spacing w:val="8"/>
                <w:kern w:val="24"/>
                <w:sz w:val="24"/>
                <w:highlight w:val="none"/>
              </w:rPr>
              <w:t>、废润滑油、废切削液</w:t>
            </w:r>
            <w:r>
              <w:rPr>
                <w:rFonts w:hint="eastAsia"/>
                <w:color w:val="auto"/>
                <w:spacing w:val="8"/>
                <w:kern w:val="24"/>
                <w:sz w:val="24"/>
                <w:highlight w:val="none"/>
                <w:lang w:eastAsia="zh-CN"/>
              </w:rPr>
              <w:t>、含油废抹布及废手套</w:t>
            </w:r>
            <w:r>
              <w:rPr>
                <w:color w:val="auto"/>
                <w:spacing w:val="8"/>
                <w:kern w:val="24"/>
                <w:sz w:val="24"/>
                <w:highlight w:val="none"/>
              </w:rPr>
              <w:t>要求使用符合标准的带盖铁桶盛装，</w:t>
            </w:r>
            <w:r>
              <w:rPr>
                <w:rFonts w:hint="eastAsia"/>
                <w:color w:val="auto"/>
                <w:spacing w:val="8"/>
                <w:kern w:val="24"/>
                <w:sz w:val="24"/>
                <w:highlight w:val="none"/>
                <w:lang w:eastAsia="zh-CN"/>
              </w:rPr>
              <w:t>废包装桶</w:t>
            </w:r>
            <w:r>
              <w:rPr>
                <w:color w:val="auto"/>
                <w:spacing w:val="8"/>
                <w:kern w:val="24"/>
                <w:sz w:val="24"/>
                <w:highlight w:val="none"/>
              </w:rPr>
              <w:t>要求原盖封存，分类存储，分别堆放，</w:t>
            </w:r>
            <w:r>
              <w:rPr>
                <w:bCs/>
                <w:color w:val="auto"/>
                <w:sz w:val="24"/>
                <w:highlight w:val="none"/>
              </w:rPr>
              <w:t>并粘贴危险废物标签</w:t>
            </w:r>
            <w:r>
              <w:rPr>
                <w:rFonts w:hint="eastAsia"/>
                <w:bCs/>
                <w:color w:val="auto"/>
                <w:sz w:val="24"/>
                <w:highlight w:val="none"/>
                <w:lang w:eastAsia="zh-CN"/>
              </w:rPr>
              <w:t>；其中废包装桶存放在置物架上</w:t>
            </w:r>
            <w:r>
              <w:rPr>
                <w:bCs/>
                <w:color w:val="auto"/>
                <w:sz w:val="24"/>
                <w:highlight w:val="none"/>
              </w:rPr>
              <w:t>。</w:t>
            </w:r>
            <w:r>
              <w:rPr>
                <w:rFonts w:hint="eastAsia"/>
                <w:color w:val="auto"/>
                <w:sz w:val="24"/>
                <w:highlight w:val="none"/>
                <w:lang w:eastAsia="zh-CN"/>
              </w:rPr>
              <w:t>依托现有</w:t>
            </w:r>
            <w:r>
              <w:rPr>
                <w:color w:val="auto"/>
                <w:sz w:val="24"/>
                <w:highlight w:val="none"/>
              </w:rPr>
              <w:t>危废暂存间储存后，</w:t>
            </w:r>
            <w:r>
              <w:rPr>
                <w:rFonts w:hint="eastAsia"/>
                <w:color w:val="auto"/>
                <w:sz w:val="24"/>
                <w:highlight w:val="none"/>
              </w:rPr>
              <w:t>委托有资质单位处理。</w:t>
            </w:r>
            <w:r>
              <w:rPr>
                <w:rFonts w:hint="eastAsia"/>
                <w:color w:val="auto"/>
                <w:sz w:val="24"/>
                <w:highlight w:val="none"/>
                <w:lang w:eastAsia="zh-CN"/>
              </w:rPr>
              <w:t>距离水源地准保护区</w:t>
            </w:r>
            <w:r>
              <w:rPr>
                <w:rFonts w:hint="eastAsia"/>
                <w:color w:val="auto"/>
                <w:kern w:val="0"/>
                <w:sz w:val="24"/>
                <w:highlight w:val="none"/>
                <w:lang w:val="en-US" w:eastAsia="zh-CN"/>
              </w:rPr>
              <w:t>2870m，距离西沙河生态红线2150m，</w:t>
            </w:r>
            <w:r>
              <w:rPr>
                <w:color w:val="auto"/>
                <w:sz w:val="24"/>
                <w:highlight w:val="none"/>
              </w:rPr>
              <w:t>价范围内无重点文物、自然保护区、珍稀动植物、水源地等环境敏感点。本项目</w:t>
            </w:r>
            <w:r>
              <w:rPr>
                <w:snapToGrid w:val="0"/>
                <w:color w:val="auto"/>
                <w:kern w:val="0"/>
                <w:sz w:val="24"/>
                <w:highlight w:val="none"/>
              </w:rPr>
              <w:t>废</w:t>
            </w:r>
            <w:r>
              <w:rPr>
                <w:color w:val="auto"/>
                <w:spacing w:val="8"/>
                <w:kern w:val="24"/>
                <w:sz w:val="24"/>
                <w:highlight w:val="none"/>
              </w:rPr>
              <w:t>液压油</w:t>
            </w:r>
            <w:r>
              <w:rPr>
                <w:rFonts w:hint="eastAsia"/>
                <w:color w:val="auto"/>
                <w:spacing w:val="8"/>
                <w:kern w:val="24"/>
                <w:sz w:val="24"/>
                <w:highlight w:val="none"/>
              </w:rPr>
              <w:t>、废润滑油、废切削液</w:t>
            </w:r>
            <w:r>
              <w:rPr>
                <w:color w:val="auto"/>
                <w:sz w:val="24"/>
                <w:highlight w:val="none"/>
              </w:rPr>
              <w:t>产生量较少，且</w:t>
            </w:r>
            <w:r>
              <w:rPr>
                <w:rFonts w:hint="eastAsia"/>
                <w:color w:val="auto"/>
                <w:sz w:val="24"/>
                <w:highlight w:val="none"/>
                <w:lang w:eastAsia="zh-CN"/>
              </w:rPr>
              <w:t>均</w:t>
            </w:r>
            <w:r>
              <w:rPr>
                <w:color w:val="auto"/>
                <w:sz w:val="24"/>
                <w:highlight w:val="none"/>
              </w:rPr>
              <w:t>储存于封闭的桶中，</w:t>
            </w:r>
            <w:r>
              <w:rPr>
                <w:rFonts w:hint="eastAsia"/>
                <w:color w:val="auto"/>
                <w:sz w:val="24"/>
                <w:highlight w:val="none"/>
                <w:lang w:eastAsia="zh-CN"/>
              </w:rPr>
              <w:t>废包装桶</w:t>
            </w:r>
            <w:r>
              <w:rPr>
                <w:color w:val="auto"/>
                <w:sz w:val="24"/>
                <w:highlight w:val="none"/>
              </w:rPr>
              <w:t>直接封盖储存于危废</w:t>
            </w:r>
            <w:r>
              <w:rPr>
                <w:rFonts w:hint="eastAsia"/>
                <w:color w:val="auto"/>
                <w:sz w:val="24"/>
                <w:highlight w:val="none"/>
              </w:rPr>
              <w:t>暂存</w:t>
            </w:r>
            <w:r>
              <w:rPr>
                <w:color w:val="auto"/>
                <w:sz w:val="24"/>
                <w:highlight w:val="none"/>
              </w:rPr>
              <w:t>间。本项目危废每年清运一次，且在实际运行过程中企业加强管理，并在危险废物转移管理过程中严格执行《危险废物转移联单管理办法》，可有效防止危险废物对外环境造成影响。</w:t>
            </w:r>
          </w:p>
          <w:p>
            <w:pPr>
              <w:adjustRightInd w:val="0"/>
              <w:spacing w:line="500" w:lineRule="exact"/>
              <w:ind w:right="-28" w:firstLine="482" w:firstLineChars="200"/>
              <w:jc w:val="left"/>
              <w:textAlignment w:val="baseline"/>
              <w:rPr>
                <w:b/>
                <w:color w:val="auto"/>
                <w:sz w:val="24"/>
                <w:highlight w:val="none"/>
              </w:rPr>
            </w:pPr>
            <w:r>
              <w:rPr>
                <w:rFonts w:hint="eastAsia"/>
                <w:b/>
                <w:color w:val="auto"/>
                <w:sz w:val="24"/>
                <w:highlight w:val="none"/>
              </w:rPr>
              <w:t>危废暂存间</w:t>
            </w:r>
            <w:r>
              <w:rPr>
                <w:b/>
                <w:color w:val="auto"/>
                <w:sz w:val="24"/>
                <w:highlight w:val="none"/>
              </w:rPr>
              <w:t>管理要求：</w:t>
            </w:r>
          </w:p>
          <w:p>
            <w:pPr>
              <w:adjustRightInd w:val="0"/>
              <w:spacing w:line="500" w:lineRule="exact"/>
              <w:ind w:right="-28" w:firstLine="480" w:firstLineChars="200"/>
              <w:jc w:val="left"/>
              <w:textAlignment w:val="baseline"/>
              <w:rPr>
                <w:bCs/>
                <w:color w:val="auto"/>
                <w:sz w:val="24"/>
                <w:highlight w:val="none"/>
              </w:rPr>
            </w:pPr>
            <w:r>
              <w:rPr>
                <w:rFonts w:hint="eastAsia" w:ascii="宋体" w:hAnsi="宋体" w:cs="宋体"/>
                <w:color w:val="auto"/>
                <w:sz w:val="24"/>
                <w:highlight w:val="none"/>
              </w:rPr>
              <w:t>①</w:t>
            </w:r>
            <w:r>
              <w:rPr>
                <w:rFonts w:hint="eastAsia" w:cs="Times New Roman"/>
                <w:color w:val="auto"/>
                <w:sz w:val="24"/>
                <w:szCs w:val="24"/>
                <w:highlight w:val="none"/>
                <w:lang w:eastAsia="zh-CN"/>
              </w:rPr>
              <w:t>本次技改项目依托现有危废暂存间，现有</w:t>
            </w:r>
            <w:r>
              <w:rPr>
                <w:color w:val="auto"/>
                <w:sz w:val="24"/>
                <w:highlight w:val="none"/>
              </w:rPr>
              <w:t>危废暂存间</w:t>
            </w:r>
            <w:r>
              <w:rPr>
                <w:rFonts w:hint="default" w:ascii="Times New Roman" w:hAnsi="Times New Roman" w:cs="Times New Roman"/>
                <w:color w:val="auto"/>
                <w:sz w:val="24"/>
                <w:szCs w:val="24"/>
                <w:highlight w:val="none"/>
              </w:rPr>
              <w:t>铺设 20</w:t>
            </w:r>
            <w:r>
              <w:rPr>
                <w:rFonts w:hint="eastAsia" w:cs="Times New Roman"/>
                <w:color w:val="auto"/>
                <w:sz w:val="24"/>
                <w:szCs w:val="24"/>
                <w:highlight w:val="none"/>
                <w:lang w:val="en-US" w:eastAsia="zh-CN"/>
              </w:rPr>
              <w:t>0m</w:t>
            </w:r>
            <w:r>
              <w:rPr>
                <w:rFonts w:hint="default" w:ascii="Times New Roman" w:hAnsi="Times New Roman" w:cs="Times New Roman"/>
                <w:color w:val="auto"/>
                <w:sz w:val="24"/>
                <w:szCs w:val="24"/>
                <w:highlight w:val="none"/>
              </w:rPr>
              <w:t>m 抗渗混凝土；再铺设2mm 厚高密度聚乙烯（HDPE）膜防渗层，防渗层上采用抗渗混凝土，混凝土强度等级不低于 C25，抗渗等级不低于 P6，厚度不小于 100mm。</w:t>
            </w:r>
            <w:r>
              <w:rPr>
                <w:rFonts w:hint="eastAsia" w:cs="Times New Roman"/>
                <w:color w:val="auto"/>
                <w:sz w:val="24"/>
                <w:szCs w:val="24"/>
                <w:highlight w:val="none"/>
                <w:lang w:eastAsia="zh-CN"/>
              </w:rPr>
              <w:t>渗透系数</w:t>
            </w:r>
            <w:r>
              <w:rPr>
                <w:rFonts w:hint="default" w:ascii="Times New Roman" w:hAnsi="Times New Roman" w:cs="Times New Roman"/>
                <w:color w:val="auto"/>
                <w:sz w:val="24"/>
                <w:szCs w:val="24"/>
                <w:highlight w:val="none"/>
              </w:rPr>
              <w:t>不大于1×10</w:t>
            </w:r>
            <w:r>
              <w:rPr>
                <w:rFonts w:hint="default" w:ascii="Times New Roman" w:hAnsi="Times New Roman" w:cs="Times New Roman"/>
                <w:color w:val="auto"/>
                <w:sz w:val="24"/>
                <w:szCs w:val="24"/>
                <w:highlight w:val="none"/>
                <w:vertAlign w:val="superscript"/>
              </w:rPr>
              <w:t xml:space="preserve"> -</w:t>
            </w:r>
            <w:r>
              <w:rPr>
                <w:rFonts w:hint="default" w:ascii="Times New Roman" w:hAnsi="Times New Roman" w:cs="Times New Roman"/>
                <w:color w:val="auto"/>
                <w:sz w:val="24"/>
                <w:szCs w:val="24"/>
                <w:highlight w:val="none"/>
                <w:vertAlign w:val="superscript"/>
                <w:lang w:val="en-US" w:eastAsia="zh-CN"/>
              </w:rPr>
              <w:t>10</w:t>
            </w:r>
            <w:r>
              <w:rPr>
                <w:rFonts w:hint="default" w:ascii="Times New Roman" w:hAnsi="Times New Roman" w:cs="Times New Roman"/>
                <w:color w:val="auto"/>
                <w:sz w:val="24"/>
                <w:szCs w:val="24"/>
                <w:highlight w:val="none"/>
              </w:rPr>
              <w:t xml:space="preserve"> cm/s</w:t>
            </w:r>
            <w:r>
              <w:rPr>
                <w:bCs/>
                <w:color w:val="auto"/>
                <w:sz w:val="24"/>
                <w:highlight w:val="none"/>
              </w:rPr>
              <w:t>；</w:t>
            </w:r>
            <w:r>
              <w:rPr>
                <w:rFonts w:hint="eastAsia"/>
                <w:bCs/>
                <w:color w:val="auto"/>
                <w:sz w:val="24"/>
                <w:highlight w:val="none"/>
              </w:rPr>
              <w:t>危废暂存间</w:t>
            </w:r>
            <w:r>
              <w:rPr>
                <w:bCs/>
                <w:color w:val="auto"/>
                <w:sz w:val="24"/>
                <w:highlight w:val="none"/>
              </w:rPr>
              <w:t>设不同分区，并粘贴危险废物名称、性质；</w:t>
            </w:r>
          </w:p>
          <w:p>
            <w:pPr>
              <w:adjustRightInd w:val="0"/>
              <w:spacing w:line="500" w:lineRule="exact"/>
              <w:ind w:right="-28" w:firstLine="480" w:firstLineChars="200"/>
              <w:jc w:val="left"/>
              <w:textAlignment w:val="baseline"/>
              <w:rPr>
                <w:color w:val="auto"/>
                <w:sz w:val="24"/>
                <w:highlight w:val="none"/>
              </w:rPr>
            </w:pPr>
            <w:r>
              <w:rPr>
                <w:rFonts w:hint="eastAsia" w:ascii="宋体" w:hAnsi="宋体" w:cs="宋体"/>
                <w:bCs/>
                <w:color w:val="auto"/>
                <w:sz w:val="24"/>
                <w:highlight w:val="none"/>
              </w:rPr>
              <w:t>②</w:t>
            </w:r>
            <w:r>
              <w:rPr>
                <w:rFonts w:hint="eastAsia"/>
                <w:bCs/>
                <w:color w:val="auto"/>
                <w:sz w:val="24"/>
                <w:highlight w:val="none"/>
              </w:rPr>
              <w:t>危废暂存间</w:t>
            </w:r>
            <w:r>
              <w:rPr>
                <w:bCs/>
                <w:color w:val="auto"/>
                <w:sz w:val="24"/>
                <w:highlight w:val="none"/>
              </w:rPr>
              <w:t>设置配备通讯装置、照明设施、安全防护服装及工具，并设应急防护设施，地面与裙脚所围建的容积不低于最大容器的最大储量或总储量的五分之一，并设置三级警示标志。</w:t>
            </w:r>
            <w:r>
              <w:rPr>
                <w:rFonts w:hint="eastAsia" w:ascii="宋体" w:hAnsi="宋体" w:cs="宋体"/>
                <w:bCs/>
                <w:color w:val="auto"/>
                <w:sz w:val="24"/>
                <w:highlight w:val="none"/>
              </w:rPr>
              <w:t>③</w:t>
            </w:r>
            <w:r>
              <w:rPr>
                <w:bCs/>
                <w:color w:val="auto"/>
                <w:sz w:val="24"/>
                <w:highlight w:val="none"/>
              </w:rPr>
              <w:t>由专人进行管理，做好危险废物排放量及处置记录，并在危险废物转移管理过程中严格执行《危险废物转移联单管理办法》，</w:t>
            </w:r>
            <w:r>
              <w:rPr>
                <w:color w:val="auto"/>
                <w:sz w:val="24"/>
                <w:highlight w:val="none"/>
              </w:rPr>
              <w:t>委托有资质单位处理。</w:t>
            </w:r>
          </w:p>
          <w:p>
            <w:pPr>
              <w:adjustRightInd w:val="0"/>
              <w:spacing w:line="500" w:lineRule="exact"/>
              <w:ind w:right="-28" w:firstLine="482" w:firstLineChars="200"/>
              <w:jc w:val="left"/>
              <w:textAlignment w:val="baseline"/>
              <w:rPr>
                <w:b/>
                <w:bCs/>
                <w:color w:val="auto"/>
                <w:sz w:val="24"/>
                <w:highlight w:val="none"/>
              </w:rPr>
            </w:pPr>
            <w:r>
              <w:rPr>
                <w:b/>
                <w:bCs/>
                <w:color w:val="auto"/>
                <w:sz w:val="24"/>
                <w:highlight w:val="none"/>
              </w:rPr>
              <w:t>危险废物贮存管理要求：</w:t>
            </w:r>
          </w:p>
          <w:p>
            <w:pPr>
              <w:adjustRightInd w:val="0"/>
              <w:spacing w:line="500" w:lineRule="exact"/>
              <w:ind w:firstLine="480" w:firstLineChars="200"/>
              <w:jc w:val="left"/>
              <w:textAlignment w:val="baseline"/>
              <w:rPr>
                <w:color w:val="auto"/>
                <w:sz w:val="24"/>
                <w:highlight w:val="none"/>
              </w:rPr>
            </w:pPr>
            <w:r>
              <w:rPr>
                <w:color w:val="auto"/>
                <w:sz w:val="24"/>
                <w:highlight w:val="none"/>
              </w:rPr>
              <w:t>依照《中华人民共和国固体废物污染环境防治法》，对危险废物提出以下要求：危险废物贮存按《危险废物贮存污染控制标准》（GB18597-2001）规定及修改清单进行：</w:t>
            </w:r>
          </w:p>
          <w:p>
            <w:pPr>
              <w:adjustRightInd w:val="0"/>
              <w:spacing w:line="500" w:lineRule="exact"/>
              <w:ind w:firstLine="480" w:firstLineChars="200"/>
              <w:jc w:val="left"/>
              <w:textAlignment w:val="baseline"/>
              <w:rPr>
                <w:color w:val="auto"/>
                <w:sz w:val="24"/>
                <w:highlight w:val="none"/>
              </w:rPr>
            </w:pPr>
            <w:r>
              <w:rPr>
                <w:rFonts w:hint="eastAsia" w:ascii="宋体" w:hAnsi="宋体" w:cs="宋体"/>
                <w:color w:val="auto"/>
                <w:sz w:val="24"/>
                <w:highlight w:val="none"/>
              </w:rPr>
              <w:t>①</w:t>
            </w:r>
            <w:r>
              <w:rPr>
                <w:color w:val="auto"/>
                <w:sz w:val="24"/>
                <w:highlight w:val="none"/>
              </w:rPr>
              <w:t>必须将危险废物装入容器内，装载危险废物的容器内须留足够空间。</w:t>
            </w:r>
          </w:p>
          <w:p>
            <w:pPr>
              <w:adjustRightInd w:val="0"/>
              <w:spacing w:line="500" w:lineRule="exact"/>
              <w:ind w:firstLine="480" w:firstLineChars="200"/>
              <w:jc w:val="left"/>
              <w:textAlignment w:val="baseline"/>
              <w:rPr>
                <w:color w:val="auto"/>
                <w:sz w:val="24"/>
                <w:highlight w:val="none"/>
              </w:rPr>
            </w:pPr>
            <w:r>
              <w:rPr>
                <w:rFonts w:hint="eastAsia" w:ascii="宋体" w:hAnsi="宋体" w:cs="宋体"/>
                <w:color w:val="auto"/>
                <w:sz w:val="24"/>
                <w:highlight w:val="none"/>
              </w:rPr>
              <w:t>②</w:t>
            </w:r>
            <w:r>
              <w:rPr>
                <w:color w:val="auto"/>
                <w:sz w:val="24"/>
                <w:highlight w:val="none"/>
              </w:rPr>
              <w:t>盛装危险废物的容器上必须粘贴符合标准要求的标签。</w:t>
            </w:r>
          </w:p>
          <w:p>
            <w:pPr>
              <w:adjustRightInd w:val="0"/>
              <w:spacing w:line="500" w:lineRule="exact"/>
              <w:ind w:firstLine="480" w:firstLineChars="200"/>
              <w:jc w:val="left"/>
              <w:textAlignment w:val="baseline"/>
              <w:rPr>
                <w:color w:val="auto"/>
                <w:sz w:val="24"/>
                <w:highlight w:val="none"/>
              </w:rPr>
            </w:pPr>
            <w:r>
              <w:rPr>
                <w:rFonts w:hint="eastAsia" w:ascii="宋体" w:hAnsi="宋体" w:cs="宋体"/>
                <w:color w:val="auto"/>
                <w:sz w:val="24"/>
                <w:highlight w:val="none"/>
              </w:rPr>
              <w:t>③</w:t>
            </w:r>
            <w:r>
              <w:rPr>
                <w:color w:val="auto"/>
                <w:sz w:val="24"/>
                <w:highlight w:val="none"/>
              </w:rPr>
              <w:t>装载危险废物的容器及材质要满足相应的强度要求，装载危险废物的容器必须完好无损。</w:t>
            </w:r>
          </w:p>
          <w:p>
            <w:pPr>
              <w:adjustRightInd w:val="0"/>
              <w:spacing w:line="500" w:lineRule="exact"/>
              <w:ind w:firstLine="480" w:firstLineChars="200"/>
              <w:jc w:val="left"/>
              <w:textAlignment w:val="baseline"/>
              <w:rPr>
                <w:color w:val="auto"/>
                <w:sz w:val="24"/>
                <w:highlight w:val="none"/>
              </w:rPr>
            </w:pPr>
            <w:r>
              <w:rPr>
                <w:rFonts w:hint="eastAsia" w:ascii="宋体" w:hAnsi="宋体" w:cs="宋体"/>
                <w:color w:val="auto"/>
                <w:sz w:val="24"/>
                <w:highlight w:val="none"/>
              </w:rPr>
              <w:t>④</w:t>
            </w:r>
            <w:r>
              <w:rPr>
                <w:color w:val="auto"/>
                <w:sz w:val="24"/>
                <w:highlight w:val="none"/>
              </w:rPr>
              <w:t>作好危险废物情况的记录，记录上须注明危险废物的名称、来源、数量、特性和包装容器的类别、入库日期、存放库位、废物出库日期及接收单位名称。危险废物的记录和货单在危险废物回取后应继续保留三年。</w:t>
            </w:r>
          </w:p>
          <w:p>
            <w:pPr>
              <w:adjustRightInd w:val="0"/>
              <w:spacing w:line="500" w:lineRule="exact"/>
              <w:ind w:firstLine="480" w:firstLineChars="200"/>
              <w:jc w:val="left"/>
              <w:textAlignment w:val="baseline"/>
              <w:rPr>
                <w:color w:val="auto"/>
                <w:sz w:val="24"/>
                <w:highlight w:val="none"/>
              </w:rPr>
            </w:pPr>
            <w:r>
              <w:rPr>
                <w:rFonts w:hint="eastAsia" w:ascii="宋体" w:hAnsi="宋体" w:cs="宋体"/>
                <w:color w:val="auto"/>
                <w:sz w:val="24"/>
                <w:highlight w:val="none"/>
              </w:rPr>
              <w:t>⑤</w:t>
            </w:r>
            <w:r>
              <w:rPr>
                <w:color w:val="auto"/>
                <w:sz w:val="24"/>
                <w:highlight w:val="none"/>
              </w:rPr>
              <w:t>根据危废物性质不同，不相容的危险废物分别贮存。</w:t>
            </w:r>
          </w:p>
          <w:p>
            <w:pPr>
              <w:adjustRightInd w:val="0"/>
              <w:spacing w:line="500" w:lineRule="exact"/>
              <w:ind w:firstLine="480" w:firstLineChars="200"/>
              <w:jc w:val="left"/>
              <w:textAlignment w:val="baseline"/>
              <w:rPr>
                <w:color w:val="auto"/>
                <w:sz w:val="24"/>
                <w:highlight w:val="none"/>
              </w:rPr>
            </w:pPr>
            <w:r>
              <w:rPr>
                <w:rFonts w:hint="eastAsia"/>
                <w:color w:val="auto"/>
                <w:sz w:val="24"/>
                <w:highlight w:val="none"/>
              </w:rPr>
              <w:t>⑥</w:t>
            </w:r>
            <w:r>
              <w:rPr>
                <w:color w:val="auto"/>
                <w:sz w:val="24"/>
                <w:highlight w:val="none"/>
              </w:rPr>
              <w:t>必须定期对所贮存的危险废物包装容器及贮存设施进行检查，发现破损，应及时采取措施清理更换。</w:t>
            </w:r>
          </w:p>
          <w:p>
            <w:pPr>
              <w:spacing w:line="500" w:lineRule="exact"/>
              <w:ind w:firstLine="480" w:firstLineChars="200"/>
              <w:jc w:val="left"/>
              <w:rPr>
                <w:bCs/>
                <w:color w:val="auto"/>
                <w:sz w:val="24"/>
                <w:highlight w:val="none"/>
              </w:rPr>
            </w:pPr>
            <w:r>
              <w:rPr>
                <w:bCs/>
                <w:color w:val="auto"/>
                <w:sz w:val="24"/>
                <w:highlight w:val="none"/>
              </w:rPr>
              <w:t>危废暂存间位于</w:t>
            </w:r>
            <w:r>
              <w:rPr>
                <w:rFonts w:hint="eastAsia"/>
                <w:bCs/>
                <w:color w:val="auto"/>
                <w:sz w:val="24"/>
                <w:highlight w:val="none"/>
              </w:rPr>
              <w:t>生产</w:t>
            </w:r>
            <w:r>
              <w:rPr>
                <w:bCs/>
                <w:color w:val="auto"/>
                <w:sz w:val="24"/>
                <w:highlight w:val="none"/>
              </w:rPr>
              <w:t>车间</w:t>
            </w:r>
            <w:r>
              <w:rPr>
                <w:rFonts w:hint="eastAsia"/>
                <w:bCs/>
                <w:color w:val="auto"/>
                <w:sz w:val="24"/>
                <w:highlight w:val="none"/>
                <w:lang w:eastAsia="zh-CN"/>
              </w:rPr>
              <w:t>西</w:t>
            </w:r>
            <w:r>
              <w:rPr>
                <w:rFonts w:hint="eastAsia"/>
                <w:bCs/>
                <w:color w:val="auto"/>
                <w:sz w:val="24"/>
                <w:highlight w:val="none"/>
              </w:rPr>
              <w:t>南</w:t>
            </w:r>
            <w:r>
              <w:rPr>
                <w:bCs/>
                <w:color w:val="auto"/>
                <w:sz w:val="24"/>
                <w:highlight w:val="none"/>
              </w:rPr>
              <w:t>侧，危废暂存间</w:t>
            </w:r>
            <w:r>
              <w:rPr>
                <w:rFonts w:hint="eastAsia"/>
                <w:bCs/>
                <w:color w:val="auto"/>
                <w:sz w:val="24"/>
                <w:highlight w:val="none"/>
              </w:rPr>
              <w:t>占地面积</w:t>
            </w:r>
            <w:r>
              <w:rPr>
                <w:bCs/>
                <w:color w:val="auto"/>
                <w:sz w:val="24"/>
                <w:highlight w:val="none"/>
              </w:rPr>
              <w:t>为</w:t>
            </w:r>
            <w:r>
              <w:rPr>
                <w:rFonts w:hint="eastAsia"/>
                <w:bCs/>
                <w:color w:val="auto"/>
                <w:sz w:val="24"/>
                <w:highlight w:val="none"/>
              </w:rPr>
              <w:t>6</w:t>
            </w:r>
            <w:r>
              <w:rPr>
                <w:rFonts w:hint="eastAsia"/>
                <w:bCs/>
                <w:color w:val="auto"/>
                <w:sz w:val="24"/>
                <w:highlight w:val="none"/>
                <w:lang w:val="en-US" w:eastAsia="zh-CN"/>
              </w:rPr>
              <w:t>.6</w:t>
            </w:r>
            <w:r>
              <w:rPr>
                <w:bCs/>
                <w:color w:val="auto"/>
                <w:sz w:val="24"/>
                <w:highlight w:val="none"/>
              </w:rPr>
              <w:t>m</w:t>
            </w:r>
            <w:r>
              <w:rPr>
                <w:bCs/>
                <w:color w:val="auto"/>
                <w:sz w:val="24"/>
                <w:highlight w:val="none"/>
                <w:vertAlign w:val="superscript"/>
              </w:rPr>
              <w:t>2</w:t>
            </w:r>
            <w:r>
              <w:rPr>
                <w:rFonts w:hint="eastAsia"/>
                <w:bCs/>
                <w:color w:val="auto"/>
                <w:sz w:val="24"/>
                <w:highlight w:val="none"/>
                <w:vertAlign w:val="baseline"/>
                <w:lang w:eastAsia="zh-CN"/>
              </w:rPr>
              <w:t>，现有工程危废暂存间占用面积为</w:t>
            </w:r>
            <w:r>
              <w:rPr>
                <w:rFonts w:hint="eastAsia"/>
                <w:bCs/>
                <w:color w:val="auto"/>
                <w:sz w:val="24"/>
                <w:highlight w:val="none"/>
                <w:lang w:val="en-US" w:eastAsia="zh-CN"/>
              </w:rPr>
              <w:t>2.0</w:t>
            </w:r>
            <w:r>
              <w:rPr>
                <w:bCs/>
                <w:color w:val="auto"/>
                <w:sz w:val="24"/>
                <w:highlight w:val="none"/>
              </w:rPr>
              <w:t>m</w:t>
            </w:r>
            <w:r>
              <w:rPr>
                <w:bCs/>
                <w:color w:val="auto"/>
                <w:sz w:val="24"/>
                <w:highlight w:val="none"/>
                <w:vertAlign w:val="superscript"/>
              </w:rPr>
              <w:t>2</w:t>
            </w:r>
            <w:r>
              <w:rPr>
                <w:rFonts w:hint="eastAsia"/>
                <w:bCs/>
                <w:color w:val="auto"/>
                <w:sz w:val="24"/>
                <w:highlight w:val="none"/>
                <w:vertAlign w:val="baseline"/>
                <w:lang w:eastAsia="zh-CN"/>
              </w:rPr>
              <w:t>，剩余面积为</w:t>
            </w:r>
            <w:r>
              <w:rPr>
                <w:rFonts w:hint="eastAsia"/>
                <w:bCs/>
                <w:color w:val="auto"/>
                <w:sz w:val="24"/>
                <w:highlight w:val="none"/>
                <w:lang w:val="en-US" w:eastAsia="zh-CN"/>
              </w:rPr>
              <w:t>4.6</w:t>
            </w:r>
            <w:r>
              <w:rPr>
                <w:bCs/>
                <w:color w:val="auto"/>
                <w:sz w:val="24"/>
                <w:highlight w:val="none"/>
              </w:rPr>
              <w:t>m</w:t>
            </w:r>
            <w:r>
              <w:rPr>
                <w:bCs/>
                <w:color w:val="auto"/>
                <w:sz w:val="24"/>
                <w:highlight w:val="none"/>
                <w:vertAlign w:val="superscript"/>
              </w:rPr>
              <w:t>2</w:t>
            </w:r>
            <w:r>
              <w:rPr>
                <w:rFonts w:hint="eastAsia"/>
                <w:bCs/>
                <w:color w:val="auto"/>
                <w:sz w:val="24"/>
                <w:highlight w:val="none"/>
                <w:vertAlign w:val="baseline"/>
                <w:lang w:eastAsia="zh-CN"/>
              </w:rPr>
              <w:t>，本次技改项目占用面积为</w:t>
            </w:r>
            <w:r>
              <w:rPr>
                <w:rFonts w:hint="eastAsia"/>
                <w:bCs/>
                <w:color w:val="auto"/>
                <w:sz w:val="24"/>
                <w:highlight w:val="none"/>
                <w:lang w:val="en-US" w:eastAsia="zh-CN"/>
              </w:rPr>
              <w:t>2.5</w:t>
            </w:r>
            <w:r>
              <w:rPr>
                <w:bCs/>
                <w:color w:val="auto"/>
                <w:sz w:val="24"/>
                <w:highlight w:val="none"/>
              </w:rPr>
              <w:t>m</w:t>
            </w:r>
            <w:r>
              <w:rPr>
                <w:bCs/>
                <w:color w:val="auto"/>
                <w:sz w:val="24"/>
                <w:highlight w:val="none"/>
                <w:vertAlign w:val="superscript"/>
              </w:rPr>
              <w:t>2</w:t>
            </w:r>
            <w:r>
              <w:rPr>
                <w:rFonts w:hint="eastAsia"/>
                <w:bCs/>
                <w:color w:val="auto"/>
                <w:sz w:val="24"/>
                <w:highlight w:val="none"/>
                <w:vertAlign w:val="baseline"/>
                <w:lang w:eastAsia="zh-CN"/>
              </w:rPr>
              <w:t>，可满足本次技改项目需求</w:t>
            </w:r>
            <w:r>
              <w:rPr>
                <w:color w:val="auto"/>
                <w:sz w:val="24"/>
                <w:highlight w:val="none"/>
              </w:rPr>
              <w:t>。</w:t>
            </w:r>
            <w:r>
              <w:rPr>
                <w:bCs/>
                <w:color w:val="auto"/>
                <w:sz w:val="24"/>
                <w:highlight w:val="none"/>
              </w:rPr>
              <w:t>危废转移周期为最长为一年，故危废暂存间储存能力能满足要求。根据标准要求“总贮存量不超过300kg（L）的危险废物要放入符合标准的容器内，加上标签；不相容的危险废物要分别存放或存放在不渗透分隔分开的区域内，同时做分区标示”</w:t>
            </w:r>
            <w:r>
              <w:rPr>
                <w:color w:val="auto"/>
                <w:sz w:val="24"/>
                <w:highlight w:val="none"/>
              </w:rPr>
              <w:t>。危险废物储存于危废暂存间时，采用分区储存方式，</w:t>
            </w:r>
            <w:r>
              <w:rPr>
                <w:bCs/>
                <w:color w:val="auto"/>
                <w:sz w:val="24"/>
                <w:highlight w:val="none"/>
              </w:rPr>
              <w:t>并在各自区域设置危险废物警示标识。</w:t>
            </w:r>
          </w:p>
          <w:p>
            <w:pPr>
              <w:spacing w:line="440" w:lineRule="exact"/>
              <w:jc w:val="center"/>
              <w:rPr>
                <w:b/>
                <w:color w:val="auto"/>
                <w:sz w:val="24"/>
                <w:highlight w:val="none"/>
              </w:rPr>
            </w:pPr>
            <w:r>
              <w:rPr>
                <w:b/>
                <w:color w:val="auto"/>
                <w:sz w:val="24"/>
                <w:highlight w:val="none"/>
              </w:rPr>
              <w:t>表</w:t>
            </w:r>
            <w:r>
              <w:rPr>
                <w:rFonts w:hint="eastAsia"/>
                <w:b/>
                <w:color w:val="auto"/>
                <w:sz w:val="24"/>
                <w:highlight w:val="none"/>
              </w:rPr>
              <w:t>3</w:t>
            </w:r>
            <w:r>
              <w:rPr>
                <w:rFonts w:hint="eastAsia"/>
                <w:b/>
                <w:color w:val="auto"/>
                <w:sz w:val="24"/>
                <w:highlight w:val="none"/>
                <w:lang w:val="en-US" w:eastAsia="zh-CN"/>
              </w:rPr>
              <w:t>5</w:t>
            </w:r>
            <w:r>
              <w:rPr>
                <w:rFonts w:hint="eastAsia"/>
                <w:b/>
                <w:color w:val="auto"/>
                <w:sz w:val="24"/>
                <w:highlight w:val="none"/>
              </w:rPr>
              <w:t xml:space="preserve">  </w:t>
            </w:r>
            <w:r>
              <w:rPr>
                <w:b/>
                <w:color w:val="auto"/>
                <w:sz w:val="24"/>
                <w:highlight w:val="none"/>
              </w:rPr>
              <w:t xml:space="preserve">  </w:t>
            </w:r>
            <w:r>
              <w:rPr>
                <w:rFonts w:hint="eastAsia"/>
                <w:b/>
                <w:color w:val="auto"/>
                <w:sz w:val="24"/>
                <w:highlight w:val="none"/>
                <w:lang w:eastAsia="zh-CN"/>
              </w:rPr>
              <w:t>全厂</w:t>
            </w:r>
            <w:r>
              <w:rPr>
                <w:b/>
                <w:color w:val="auto"/>
                <w:sz w:val="24"/>
                <w:highlight w:val="none"/>
              </w:rPr>
              <w:t>危险废物贮存场所基本情况一览表</w:t>
            </w:r>
          </w:p>
          <w:tbl>
            <w:tblPr>
              <w:tblStyle w:val="31"/>
              <w:tblW w:w="915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61"/>
              <w:gridCol w:w="702"/>
              <w:gridCol w:w="1056"/>
              <w:gridCol w:w="1082"/>
              <w:gridCol w:w="1316"/>
              <w:gridCol w:w="730"/>
              <w:gridCol w:w="788"/>
              <w:gridCol w:w="1275"/>
              <w:gridCol w:w="854"/>
              <w:gridCol w:w="69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61"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序号</w:t>
                  </w:r>
                </w:p>
              </w:tc>
              <w:tc>
                <w:tcPr>
                  <w:tcW w:w="702"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贮存场所</w:t>
                  </w:r>
                </w:p>
              </w:tc>
              <w:tc>
                <w:tcPr>
                  <w:tcW w:w="1056"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危险废物名称</w:t>
                  </w:r>
                </w:p>
              </w:tc>
              <w:tc>
                <w:tcPr>
                  <w:tcW w:w="1082"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危险废物类别</w:t>
                  </w:r>
                </w:p>
              </w:tc>
              <w:tc>
                <w:tcPr>
                  <w:tcW w:w="1316"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危险废物代码</w:t>
                  </w:r>
                </w:p>
              </w:tc>
              <w:tc>
                <w:tcPr>
                  <w:tcW w:w="730"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位置</w:t>
                  </w:r>
                </w:p>
              </w:tc>
              <w:tc>
                <w:tcPr>
                  <w:tcW w:w="788"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占地面积</w:t>
                  </w:r>
                </w:p>
              </w:tc>
              <w:tc>
                <w:tcPr>
                  <w:tcW w:w="1275"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贮存方式</w:t>
                  </w:r>
                </w:p>
              </w:tc>
              <w:tc>
                <w:tcPr>
                  <w:tcW w:w="854"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贮存能力</w:t>
                  </w:r>
                </w:p>
              </w:tc>
              <w:tc>
                <w:tcPr>
                  <w:tcW w:w="691"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贮存周期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61" w:type="dxa"/>
                  <w:noWrap w:val="0"/>
                  <w:vAlign w:val="center"/>
                </w:tcPr>
                <w:p>
                  <w:pPr>
                    <w:topLinePunct/>
                    <w:adjustRightInd w:val="0"/>
                    <w:snapToGrid w:val="0"/>
                    <w:spacing w:line="0" w:lineRule="atLeast"/>
                    <w:jc w:val="center"/>
                    <w:rPr>
                      <w:snapToGrid w:val="0"/>
                      <w:color w:val="auto"/>
                      <w:szCs w:val="21"/>
                      <w:highlight w:val="none"/>
                    </w:rPr>
                  </w:pPr>
                  <w:r>
                    <w:rPr>
                      <w:rFonts w:hint="eastAsia"/>
                      <w:color w:val="auto"/>
                      <w:szCs w:val="21"/>
                      <w:highlight w:val="none"/>
                    </w:rPr>
                    <w:t>1</w:t>
                  </w:r>
                </w:p>
              </w:tc>
              <w:tc>
                <w:tcPr>
                  <w:tcW w:w="702" w:type="dxa"/>
                  <w:vMerge w:val="restart"/>
                  <w:noWrap w:val="0"/>
                  <w:vAlign w:val="center"/>
                </w:tcPr>
                <w:p>
                  <w:pPr>
                    <w:adjustRightInd w:val="0"/>
                    <w:snapToGrid w:val="0"/>
                    <w:spacing w:line="0" w:lineRule="atLeast"/>
                    <w:jc w:val="center"/>
                    <w:rPr>
                      <w:snapToGrid w:val="0"/>
                      <w:color w:val="auto"/>
                      <w:szCs w:val="21"/>
                      <w:highlight w:val="none"/>
                    </w:rPr>
                  </w:pPr>
                  <w:r>
                    <w:rPr>
                      <w:rFonts w:hint="eastAsia"/>
                      <w:snapToGrid w:val="0"/>
                      <w:color w:val="auto"/>
                      <w:szCs w:val="21"/>
                      <w:highlight w:val="none"/>
                    </w:rPr>
                    <w:t>危废暂存间</w:t>
                  </w:r>
                </w:p>
              </w:tc>
              <w:tc>
                <w:tcPr>
                  <w:tcW w:w="1056" w:type="dxa"/>
                  <w:noWrap w:val="0"/>
                  <w:vAlign w:val="center"/>
                </w:tcPr>
                <w:p>
                  <w:pPr>
                    <w:topLinePunct/>
                    <w:adjustRightInd w:val="0"/>
                    <w:snapToGrid w:val="0"/>
                    <w:spacing w:line="0" w:lineRule="atLeast"/>
                    <w:jc w:val="center"/>
                    <w:rPr>
                      <w:snapToGrid w:val="0"/>
                      <w:color w:val="auto"/>
                      <w:szCs w:val="21"/>
                      <w:highlight w:val="none"/>
                    </w:rPr>
                  </w:pPr>
                  <w:r>
                    <w:rPr>
                      <w:color w:val="auto"/>
                      <w:szCs w:val="21"/>
                      <w:highlight w:val="none"/>
                    </w:rPr>
                    <w:t>废润滑油</w:t>
                  </w:r>
                </w:p>
              </w:tc>
              <w:tc>
                <w:tcPr>
                  <w:tcW w:w="1082" w:type="dxa"/>
                  <w:noWrap w:val="0"/>
                  <w:vAlign w:val="center"/>
                </w:tcPr>
                <w:p>
                  <w:pPr>
                    <w:topLinePunct/>
                    <w:adjustRightInd w:val="0"/>
                    <w:snapToGrid w:val="0"/>
                    <w:spacing w:line="0" w:lineRule="atLeast"/>
                    <w:jc w:val="center"/>
                    <w:rPr>
                      <w:color w:val="auto"/>
                      <w:szCs w:val="21"/>
                      <w:highlight w:val="none"/>
                    </w:rPr>
                  </w:pPr>
                  <w:r>
                    <w:rPr>
                      <w:rFonts w:hint="eastAsia"/>
                      <w:color w:val="auto"/>
                      <w:szCs w:val="21"/>
                      <w:highlight w:val="none"/>
                    </w:rPr>
                    <w:t>HW08</w:t>
                  </w:r>
                </w:p>
              </w:tc>
              <w:tc>
                <w:tcPr>
                  <w:tcW w:w="1316" w:type="dxa"/>
                  <w:noWrap w:val="0"/>
                  <w:vAlign w:val="center"/>
                </w:tcPr>
                <w:p>
                  <w:pPr>
                    <w:topLinePunct/>
                    <w:adjustRightInd w:val="0"/>
                    <w:snapToGrid w:val="0"/>
                    <w:spacing w:line="0" w:lineRule="atLeast"/>
                    <w:jc w:val="center"/>
                    <w:rPr>
                      <w:color w:val="auto"/>
                      <w:szCs w:val="21"/>
                      <w:highlight w:val="none"/>
                    </w:rPr>
                  </w:pPr>
                  <w:r>
                    <w:rPr>
                      <w:color w:val="auto"/>
                      <w:szCs w:val="21"/>
                      <w:highlight w:val="none"/>
                    </w:rPr>
                    <w:t>900-214-08</w:t>
                  </w:r>
                </w:p>
              </w:tc>
              <w:tc>
                <w:tcPr>
                  <w:tcW w:w="730" w:type="dxa"/>
                  <w:vMerge w:val="restart"/>
                  <w:noWrap w:val="0"/>
                  <w:vAlign w:val="center"/>
                </w:tcPr>
                <w:p>
                  <w:pPr>
                    <w:adjustRightInd w:val="0"/>
                    <w:snapToGrid w:val="0"/>
                    <w:spacing w:line="0" w:lineRule="atLeast"/>
                    <w:jc w:val="center"/>
                    <w:rPr>
                      <w:snapToGrid w:val="0"/>
                      <w:color w:val="auto"/>
                      <w:szCs w:val="21"/>
                      <w:highlight w:val="none"/>
                    </w:rPr>
                  </w:pPr>
                  <w:r>
                    <w:rPr>
                      <w:rFonts w:hint="eastAsia"/>
                      <w:snapToGrid w:val="0"/>
                      <w:color w:val="auto"/>
                      <w:szCs w:val="21"/>
                      <w:highlight w:val="none"/>
                    </w:rPr>
                    <w:t>危废暂存间</w:t>
                  </w:r>
                </w:p>
              </w:tc>
              <w:tc>
                <w:tcPr>
                  <w:tcW w:w="788" w:type="dxa"/>
                  <w:noWrap w:val="0"/>
                  <w:vAlign w:val="center"/>
                </w:tcPr>
                <w:p>
                  <w:pPr>
                    <w:adjustRightInd w:val="0"/>
                    <w:snapToGrid w:val="0"/>
                    <w:spacing w:line="0" w:lineRule="atLeast"/>
                    <w:jc w:val="center"/>
                    <w:rPr>
                      <w:snapToGrid w:val="0"/>
                      <w:color w:val="auto"/>
                      <w:szCs w:val="21"/>
                      <w:highlight w:val="none"/>
                    </w:rPr>
                  </w:pPr>
                  <w:r>
                    <w:rPr>
                      <w:rFonts w:hint="eastAsia"/>
                      <w:snapToGrid w:val="0"/>
                      <w:color w:val="auto"/>
                      <w:szCs w:val="21"/>
                      <w:highlight w:val="none"/>
                    </w:rPr>
                    <w:t>0.5</w:t>
                  </w:r>
                  <w:r>
                    <w:rPr>
                      <w:snapToGrid w:val="0"/>
                      <w:color w:val="auto"/>
                      <w:szCs w:val="21"/>
                      <w:highlight w:val="none"/>
                    </w:rPr>
                    <w:t>m</w:t>
                  </w:r>
                  <w:r>
                    <w:rPr>
                      <w:snapToGrid w:val="0"/>
                      <w:color w:val="auto"/>
                      <w:szCs w:val="21"/>
                      <w:highlight w:val="none"/>
                      <w:vertAlign w:val="superscript"/>
                    </w:rPr>
                    <w:t>2</w:t>
                  </w:r>
                </w:p>
              </w:tc>
              <w:tc>
                <w:tcPr>
                  <w:tcW w:w="1275" w:type="dxa"/>
                  <w:noWrap w:val="0"/>
                  <w:vAlign w:val="center"/>
                </w:tcPr>
                <w:p>
                  <w:pPr>
                    <w:adjustRightInd w:val="0"/>
                    <w:snapToGrid w:val="0"/>
                    <w:spacing w:line="0" w:lineRule="atLeast"/>
                    <w:jc w:val="center"/>
                    <w:rPr>
                      <w:snapToGrid w:val="0"/>
                      <w:color w:val="auto"/>
                      <w:szCs w:val="21"/>
                      <w:highlight w:val="none"/>
                    </w:rPr>
                  </w:pPr>
                  <w:r>
                    <w:rPr>
                      <w:rFonts w:hint="eastAsia" w:cs="宋体"/>
                      <w:snapToGrid w:val="0"/>
                      <w:color w:val="auto"/>
                      <w:szCs w:val="21"/>
                      <w:highlight w:val="none"/>
                    </w:rPr>
                    <w:t>封闭桶盛装</w:t>
                  </w:r>
                </w:p>
              </w:tc>
              <w:tc>
                <w:tcPr>
                  <w:tcW w:w="854"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0.</w:t>
                  </w:r>
                  <w:r>
                    <w:rPr>
                      <w:rFonts w:hint="eastAsia"/>
                      <w:snapToGrid w:val="0"/>
                      <w:color w:val="auto"/>
                      <w:szCs w:val="21"/>
                      <w:highlight w:val="none"/>
                      <w:lang w:val="en-US" w:eastAsia="zh-CN"/>
                    </w:rPr>
                    <w:t>2</w:t>
                  </w:r>
                  <w:r>
                    <w:rPr>
                      <w:snapToGrid w:val="0"/>
                      <w:color w:val="auto"/>
                      <w:szCs w:val="21"/>
                      <w:highlight w:val="none"/>
                    </w:rPr>
                    <w:t>t/a</w:t>
                  </w:r>
                </w:p>
              </w:tc>
              <w:tc>
                <w:tcPr>
                  <w:tcW w:w="691" w:type="dxa"/>
                  <w:noWrap w:val="0"/>
                  <w:vAlign w:val="center"/>
                </w:tcPr>
                <w:p>
                  <w:pPr>
                    <w:adjustRightInd w:val="0"/>
                    <w:snapToGrid w:val="0"/>
                    <w:spacing w:line="0" w:lineRule="atLeast"/>
                    <w:jc w:val="center"/>
                    <w:rPr>
                      <w:color w:val="auto"/>
                      <w:szCs w:val="21"/>
                      <w:highlight w:val="none"/>
                    </w:rPr>
                  </w:pPr>
                  <w:r>
                    <w:rPr>
                      <w:rFonts w:hint="eastAsia"/>
                      <w:color w:val="auto"/>
                      <w:szCs w:val="21"/>
                      <w:highlight w:val="none"/>
                    </w:rPr>
                    <w:t>1年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61" w:type="dxa"/>
                  <w:noWrap w:val="0"/>
                  <w:vAlign w:val="center"/>
                </w:tcPr>
                <w:p>
                  <w:pPr>
                    <w:topLinePunct/>
                    <w:adjustRightInd w:val="0"/>
                    <w:snapToGrid w:val="0"/>
                    <w:spacing w:line="0" w:lineRule="atLeast"/>
                    <w:jc w:val="center"/>
                    <w:rPr>
                      <w:color w:val="auto"/>
                      <w:szCs w:val="21"/>
                      <w:highlight w:val="none"/>
                    </w:rPr>
                  </w:pPr>
                  <w:r>
                    <w:rPr>
                      <w:rFonts w:hint="eastAsia"/>
                      <w:color w:val="auto"/>
                      <w:szCs w:val="21"/>
                      <w:highlight w:val="none"/>
                    </w:rPr>
                    <w:t>2</w:t>
                  </w:r>
                </w:p>
              </w:tc>
              <w:tc>
                <w:tcPr>
                  <w:tcW w:w="702" w:type="dxa"/>
                  <w:vMerge w:val="continue"/>
                  <w:noWrap w:val="0"/>
                  <w:vAlign w:val="center"/>
                </w:tcPr>
                <w:p>
                  <w:pPr>
                    <w:adjustRightInd w:val="0"/>
                    <w:snapToGrid w:val="0"/>
                    <w:spacing w:line="0" w:lineRule="atLeast"/>
                    <w:jc w:val="center"/>
                    <w:rPr>
                      <w:snapToGrid w:val="0"/>
                      <w:color w:val="auto"/>
                      <w:szCs w:val="21"/>
                      <w:highlight w:val="none"/>
                    </w:rPr>
                  </w:pPr>
                </w:p>
              </w:tc>
              <w:tc>
                <w:tcPr>
                  <w:tcW w:w="1056" w:type="dxa"/>
                  <w:noWrap w:val="0"/>
                  <w:vAlign w:val="center"/>
                </w:tcPr>
                <w:p>
                  <w:pPr>
                    <w:topLinePunct/>
                    <w:adjustRightInd w:val="0"/>
                    <w:snapToGrid w:val="0"/>
                    <w:spacing w:line="0" w:lineRule="atLeast"/>
                    <w:jc w:val="center"/>
                    <w:rPr>
                      <w:color w:val="auto"/>
                      <w:szCs w:val="21"/>
                      <w:highlight w:val="none"/>
                    </w:rPr>
                  </w:pPr>
                  <w:r>
                    <w:rPr>
                      <w:rFonts w:hint="eastAsia"/>
                      <w:color w:val="auto"/>
                      <w:szCs w:val="21"/>
                      <w:highlight w:val="none"/>
                    </w:rPr>
                    <w:t>废液压油</w:t>
                  </w:r>
                </w:p>
              </w:tc>
              <w:tc>
                <w:tcPr>
                  <w:tcW w:w="1082" w:type="dxa"/>
                  <w:noWrap w:val="0"/>
                  <w:vAlign w:val="center"/>
                </w:tcPr>
                <w:p>
                  <w:pPr>
                    <w:topLinePunct/>
                    <w:adjustRightInd w:val="0"/>
                    <w:snapToGrid w:val="0"/>
                    <w:jc w:val="center"/>
                    <w:rPr>
                      <w:color w:val="auto"/>
                      <w:kern w:val="0"/>
                      <w:szCs w:val="21"/>
                      <w:highlight w:val="none"/>
                    </w:rPr>
                  </w:pPr>
                  <w:r>
                    <w:rPr>
                      <w:rFonts w:hint="eastAsia"/>
                      <w:color w:val="auto"/>
                      <w:kern w:val="0"/>
                      <w:szCs w:val="21"/>
                      <w:highlight w:val="none"/>
                    </w:rPr>
                    <w:t>HW08</w:t>
                  </w:r>
                </w:p>
              </w:tc>
              <w:tc>
                <w:tcPr>
                  <w:tcW w:w="1316" w:type="dxa"/>
                  <w:noWrap w:val="0"/>
                  <w:vAlign w:val="center"/>
                </w:tcPr>
                <w:p>
                  <w:pPr>
                    <w:topLinePunct/>
                    <w:adjustRightInd w:val="0"/>
                    <w:snapToGrid w:val="0"/>
                    <w:jc w:val="center"/>
                    <w:rPr>
                      <w:color w:val="auto"/>
                      <w:szCs w:val="21"/>
                      <w:highlight w:val="none"/>
                    </w:rPr>
                  </w:pPr>
                  <w:r>
                    <w:rPr>
                      <w:rFonts w:hint="eastAsia"/>
                      <w:color w:val="auto"/>
                      <w:szCs w:val="21"/>
                      <w:highlight w:val="none"/>
                    </w:rPr>
                    <w:t>900-218-08</w:t>
                  </w:r>
                </w:p>
              </w:tc>
              <w:tc>
                <w:tcPr>
                  <w:tcW w:w="730" w:type="dxa"/>
                  <w:vMerge w:val="continue"/>
                  <w:noWrap w:val="0"/>
                  <w:vAlign w:val="center"/>
                </w:tcPr>
                <w:p>
                  <w:pPr>
                    <w:adjustRightInd w:val="0"/>
                    <w:snapToGrid w:val="0"/>
                    <w:spacing w:line="0" w:lineRule="atLeast"/>
                    <w:jc w:val="center"/>
                    <w:rPr>
                      <w:snapToGrid w:val="0"/>
                      <w:color w:val="auto"/>
                      <w:szCs w:val="21"/>
                      <w:highlight w:val="none"/>
                    </w:rPr>
                  </w:pPr>
                </w:p>
              </w:tc>
              <w:tc>
                <w:tcPr>
                  <w:tcW w:w="788" w:type="dxa"/>
                  <w:noWrap w:val="0"/>
                  <w:vAlign w:val="center"/>
                </w:tcPr>
                <w:p>
                  <w:pPr>
                    <w:adjustRightInd w:val="0"/>
                    <w:snapToGrid w:val="0"/>
                    <w:spacing w:line="0" w:lineRule="atLeast"/>
                    <w:jc w:val="center"/>
                    <w:rPr>
                      <w:snapToGrid w:val="0"/>
                      <w:color w:val="auto"/>
                      <w:szCs w:val="21"/>
                      <w:highlight w:val="none"/>
                    </w:rPr>
                  </w:pPr>
                  <w:r>
                    <w:rPr>
                      <w:rFonts w:hint="eastAsia"/>
                      <w:snapToGrid w:val="0"/>
                      <w:color w:val="auto"/>
                      <w:szCs w:val="21"/>
                      <w:highlight w:val="none"/>
                    </w:rPr>
                    <w:t>0.5</w:t>
                  </w:r>
                  <w:r>
                    <w:rPr>
                      <w:snapToGrid w:val="0"/>
                      <w:color w:val="auto"/>
                      <w:szCs w:val="21"/>
                      <w:highlight w:val="none"/>
                    </w:rPr>
                    <w:t>m</w:t>
                  </w:r>
                  <w:r>
                    <w:rPr>
                      <w:snapToGrid w:val="0"/>
                      <w:color w:val="auto"/>
                      <w:szCs w:val="21"/>
                      <w:highlight w:val="none"/>
                      <w:vertAlign w:val="superscript"/>
                    </w:rPr>
                    <w:t>2</w:t>
                  </w:r>
                </w:p>
              </w:tc>
              <w:tc>
                <w:tcPr>
                  <w:tcW w:w="1275" w:type="dxa"/>
                  <w:noWrap w:val="0"/>
                  <w:vAlign w:val="center"/>
                </w:tcPr>
                <w:p>
                  <w:pPr>
                    <w:adjustRightInd w:val="0"/>
                    <w:snapToGrid w:val="0"/>
                    <w:spacing w:line="0" w:lineRule="atLeast"/>
                    <w:jc w:val="center"/>
                    <w:rPr>
                      <w:rFonts w:cs="宋体"/>
                      <w:snapToGrid w:val="0"/>
                      <w:color w:val="auto"/>
                      <w:szCs w:val="21"/>
                      <w:highlight w:val="none"/>
                    </w:rPr>
                  </w:pPr>
                  <w:r>
                    <w:rPr>
                      <w:rFonts w:hint="eastAsia" w:cs="宋体"/>
                      <w:snapToGrid w:val="0"/>
                      <w:color w:val="auto"/>
                      <w:szCs w:val="21"/>
                      <w:highlight w:val="none"/>
                    </w:rPr>
                    <w:t>封闭桶盛装</w:t>
                  </w:r>
                </w:p>
              </w:tc>
              <w:tc>
                <w:tcPr>
                  <w:tcW w:w="854"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0.</w:t>
                  </w:r>
                  <w:r>
                    <w:rPr>
                      <w:rFonts w:hint="eastAsia"/>
                      <w:snapToGrid w:val="0"/>
                      <w:color w:val="auto"/>
                      <w:szCs w:val="21"/>
                      <w:highlight w:val="none"/>
                      <w:lang w:val="en-US" w:eastAsia="zh-CN"/>
                    </w:rPr>
                    <w:t>2</w:t>
                  </w:r>
                  <w:r>
                    <w:rPr>
                      <w:snapToGrid w:val="0"/>
                      <w:color w:val="auto"/>
                      <w:szCs w:val="21"/>
                      <w:highlight w:val="none"/>
                    </w:rPr>
                    <w:t>t/a</w:t>
                  </w:r>
                </w:p>
              </w:tc>
              <w:tc>
                <w:tcPr>
                  <w:tcW w:w="691" w:type="dxa"/>
                  <w:noWrap w:val="0"/>
                  <w:vAlign w:val="center"/>
                </w:tcPr>
                <w:p>
                  <w:pPr>
                    <w:jc w:val="center"/>
                    <w:rPr>
                      <w:color w:val="auto"/>
                      <w:highlight w:val="none"/>
                    </w:rPr>
                  </w:pPr>
                  <w:r>
                    <w:rPr>
                      <w:rFonts w:hint="eastAsia"/>
                      <w:color w:val="auto"/>
                      <w:szCs w:val="21"/>
                      <w:highlight w:val="none"/>
                    </w:rPr>
                    <w:t>1年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61" w:type="dxa"/>
                  <w:noWrap w:val="0"/>
                  <w:vAlign w:val="center"/>
                </w:tcPr>
                <w:p>
                  <w:pPr>
                    <w:topLinePunct/>
                    <w:adjustRightInd w:val="0"/>
                    <w:snapToGrid w:val="0"/>
                    <w:spacing w:line="0" w:lineRule="atLeast"/>
                    <w:jc w:val="center"/>
                    <w:rPr>
                      <w:rFonts w:hint="eastAsia"/>
                      <w:color w:val="auto"/>
                      <w:szCs w:val="21"/>
                      <w:highlight w:val="none"/>
                    </w:rPr>
                  </w:pPr>
                  <w:r>
                    <w:rPr>
                      <w:rFonts w:hint="eastAsia"/>
                      <w:color w:val="auto"/>
                      <w:szCs w:val="21"/>
                      <w:highlight w:val="none"/>
                    </w:rPr>
                    <w:t>3</w:t>
                  </w:r>
                </w:p>
              </w:tc>
              <w:tc>
                <w:tcPr>
                  <w:tcW w:w="702" w:type="dxa"/>
                  <w:vMerge w:val="continue"/>
                  <w:noWrap w:val="0"/>
                  <w:vAlign w:val="center"/>
                </w:tcPr>
                <w:p>
                  <w:pPr>
                    <w:adjustRightInd w:val="0"/>
                    <w:snapToGrid w:val="0"/>
                    <w:spacing w:line="0" w:lineRule="atLeast"/>
                    <w:jc w:val="center"/>
                    <w:rPr>
                      <w:snapToGrid w:val="0"/>
                      <w:color w:val="auto"/>
                      <w:szCs w:val="21"/>
                      <w:highlight w:val="none"/>
                    </w:rPr>
                  </w:pPr>
                </w:p>
              </w:tc>
              <w:tc>
                <w:tcPr>
                  <w:tcW w:w="1056" w:type="dxa"/>
                  <w:noWrap w:val="0"/>
                  <w:vAlign w:val="center"/>
                </w:tcPr>
                <w:p>
                  <w:pPr>
                    <w:jc w:val="center"/>
                    <w:rPr>
                      <w:rFonts w:hint="eastAsia"/>
                      <w:color w:val="auto"/>
                      <w:szCs w:val="21"/>
                      <w:highlight w:val="none"/>
                    </w:rPr>
                  </w:pPr>
                  <w:r>
                    <w:rPr>
                      <w:rFonts w:hint="eastAsia"/>
                      <w:color w:val="auto"/>
                      <w:szCs w:val="21"/>
                      <w:highlight w:val="none"/>
                    </w:rPr>
                    <w:t>废切削液</w:t>
                  </w:r>
                </w:p>
              </w:tc>
              <w:tc>
                <w:tcPr>
                  <w:tcW w:w="1082" w:type="dxa"/>
                  <w:noWrap w:val="0"/>
                  <w:vAlign w:val="center"/>
                </w:tcPr>
                <w:p>
                  <w:pPr>
                    <w:pStyle w:val="27"/>
                    <w:adjustRightInd w:val="0"/>
                    <w:snapToGrid w:val="0"/>
                    <w:jc w:val="center"/>
                    <w:rPr>
                      <w:rFonts w:ascii="Times New Roman" w:hAnsi="Times New Roman" w:cs="Times New Roman"/>
                      <w:color w:val="auto"/>
                      <w:sz w:val="21"/>
                      <w:szCs w:val="21"/>
                      <w:highlight w:val="none"/>
                      <w:lang w:bidi="ar"/>
                    </w:rPr>
                  </w:pPr>
                  <w:r>
                    <w:rPr>
                      <w:rFonts w:hint="eastAsia" w:ascii="Times New Roman" w:hAnsi="Times New Roman" w:cs="Times New Roman"/>
                      <w:color w:val="auto"/>
                      <w:sz w:val="21"/>
                      <w:szCs w:val="21"/>
                      <w:highlight w:val="none"/>
                      <w:lang w:bidi="ar"/>
                    </w:rPr>
                    <w:t>HW09</w:t>
                  </w:r>
                </w:p>
              </w:tc>
              <w:tc>
                <w:tcPr>
                  <w:tcW w:w="1316" w:type="dxa"/>
                  <w:noWrap w:val="0"/>
                  <w:vAlign w:val="center"/>
                </w:tcPr>
                <w:p>
                  <w:pPr>
                    <w:widowControl/>
                    <w:jc w:val="center"/>
                    <w:rPr>
                      <w:color w:val="auto"/>
                      <w:kern w:val="0"/>
                      <w:szCs w:val="21"/>
                      <w:highlight w:val="none"/>
                      <w:lang w:bidi="ar"/>
                    </w:rPr>
                  </w:pPr>
                  <w:r>
                    <w:rPr>
                      <w:rFonts w:hint="eastAsia"/>
                      <w:color w:val="auto"/>
                      <w:kern w:val="0"/>
                      <w:szCs w:val="21"/>
                      <w:highlight w:val="none"/>
                      <w:lang w:bidi="ar"/>
                    </w:rPr>
                    <w:t>900-006-09</w:t>
                  </w:r>
                </w:p>
              </w:tc>
              <w:tc>
                <w:tcPr>
                  <w:tcW w:w="730" w:type="dxa"/>
                  <w:vMerge w:val="continue"/>
                  <w:noWrap w:val="0"/>
                  <w:vAlign w:val="center"/>
                </w:tcPr>
                <w:p>
                  <w:pPr>
                    <w:adjustRightInd w:val="0"/>
                    <w:snapToGrid w:val="0"/>
                    <w:spacing w:line="0" w:lineRule="atLeast"/>
                    <w:jc w:val="center"/>
                    <w:rPr>
                      <w:snapToGrid w:val="0"/>
                      <w:color w:val="auto"/>
                      <w:szCs w:val="21"/>
                      <w:highlight w:val="none"/>
                    </w:rPr>
                  </w:pPr>
                </w:p>
              </w:tc>
              <w:tc>
                <w:tcPr>
                  <w:tcW w:w="788" w:type="dxa"/>
                  <w:noWrap w:val="0"/>
                  <w:vAlign w:val="center"/>
                </w:tcPr>
                <w:p>
                  <w:pPr>
                    <w:adjustRightInd w:val="0"/>
                    <w:snapToGrid w:val="0"/>
                    <w:spacing w:line="0" w:lineRule="atLeast"/>
                    <w:jc w:val="center"/>
                    <w:rPr>
                      <w:rFonts w:hint="eastAsia"/>
                      <w:snapToGrid w:val="0"/>
                      <w:color w:val="auto"/>
                      <w:szCs w:val="21"/>
                      <w:highlight w:val="none"/>
                    </w:rPr>
                  </w:pPr>
                  <w:r>
                    <w:rPr>
                      <w:rFonts w:hint="eastAsia"/>
                      <w:snapToGrid w:val="0"/>
                      <w:color w:val="auto"/>
                      <w:szCs w:val="21"/>
                      <w:highlight w:val="none"/>
                      <w:lang w:val="en-US" w:eastAsia="zh-CN"/>
                    </w:rPr>
                    <w:t>1</w:t>
                  </w:r>
                  <w:r>
                    <w:rPr>
                      <w:rFonts w:hint="eastAsia"/>
                      <w:snapToGrid w:val="0"/>
                      <w:color w:val="auto"/>
                      <w:szCs w:val="21"/>
                      <w:highlight w:val="none"/>
                    </w:rPr>
                    <w:t>.</w:t>
                  </w:r>
                  <w:r>
                    <w:rPr>
                      <w:rFonts w:hint="eastAsia"/>
                      <w:snapToGrid w:val="0"/>
                      <w:color w:val="auto"/>
                      <w:szCs w:val="21"/>
                      <w:highlight w:val="none"/>
                      <w:lang w:val="en-US" w:eastAsia="zh-CN"/>
                    </w:rPr>
                    <w:t>2</w:t>
                  </w:r>
                  <w:r>
                    <w:rPr>
                      <w:snapToGrid w:val="0"/>
                      <w:color w:val="auto"/>
                      <w:szCs w:val="21"/>
                      <w:highlight w:val="none"/>
                    </w:rPr>
                    <w:t>m</w:t>
                  </w:r>
                  <w:r>
                    <w:rPr>
                      <w:snapToGrid w:val="0"/>
                      <w:color w:val="auto"/>
                      <w:szCs w:val="21"/>
                      <w:highlight w:val="none"/>
                      <w:vertAlign w:val="superscript"/>
                    </w:rPr>
                    <w:t>2</w:t>
                  </w:r>
                </w:p>
              </w:tc>
              <w:tc>
                <w:tcPr>
                  <w:tcW w:w="1275" w:type="dxa"/>
                  <w:noWrap w:val="0"/>
                  <w:vAlign w:val="center"/>
                </w:tcPr>
                <w:p>
                  <w:pPr>
                    <w:adjustRightInd w:val="0"/>
                    <w:snapToGrid w:val="0"/>
                    <w:spacing w:line="0" w:lineRule="atLeast"/>
                    <w:jc w:val="center"/>
                    <w:rPr>
                      <w:rFonts w:hint="eastAsia" w:cs="宋体"/>
                      <w:snapToGrid w:val="0"/>
                      <w:color w:val="auto"/>
                      <w:szCs w:val="21"/>
                      <w:highlight w:val="none"/>
                    </w:rPr>
                  </w:pPr>
                  <w:r>
                    <w:rPr>
                      <w:rFonts w:hint="eastAsia" w:cs="宋体"/>
                      <w:snapToGrid w:val="0"/>
                      <w:color w:val="auto"/>
                      <w:szCs w:val="21"/>
                      <w:highlight w:val="none"/>
                    </w:rPr>
                    <w:t>封闭桶盛装</w:t>
                  </w:r>
                </w:p>
              </w:tc>
              <w:tc>
                <w:tcPr>
                  <w:tcW w:w="854" w:type="dxa"/>
                  <w:noWrap w:val="0"/>
                  <w:vAlign w:val="center"/>
                </w:tcPr>
                <w:p>
                  <w:pPr>
                    <w:adjustRightInd w:val="0"/>
                    <w:snapToGrid w:val="0"/>
                    <w:spacing w:line="0" w:lineRule="atLeast"/>
                    <w:jc w:val="center"/>
                    <w:rPr>
                      <w:snapToGrid w:val="0"/>
                      <w:color w:val="auto"/>
                      <w:szCs w:val="21"/>
                      <w:highlight w:val="none"/>
                    </w:rPr>
                  </w:pPr>
                  <w:r>
                    <w:rPr>
                      <w:rFonts w:hint="eastAsia"/>
                      <w:snapToGrid w:val="0"/>
                      <w:color w:val="auto"/>
                      <w:szCs w:val="21"/>
                      <w:highlight w:val="none"/>
                      <w:lang w:val="en-US" w:eastAsia="zh-CN"/>
                    </w:rPr>
                    <w:t>4.0</w:t>
                  </w:r>
                  <w:r>
                    <w:rPr>
                      <w:snapToGrid w:val="0"/>
                      <w:color w:val="auto"/>
                      <w:szCs w:val="21"/>
                      <w:highlight w:val="none"/>
                    </w:rPr>
                    <w:t>t/a</w:t>
                  </w:r>
                </w:p>
              </w:tc>
              <w:tc>
                <w:tcPr>
                  <w:tcW w:w="691" w:type="dxa"/>
                  <w:noWrap w:val="0"/>
                  <w:vAlign w:val="center"/>
                </w:tcPr>
                <w:p>
                  <w:pPr>
                    <w:jc w:val="center"/>
                    <w:rPr>
                      <w:rFonts w:hint="eastAsia"/>
                      <w:color w:val="auto"/>
                      <w:szCs w:val="21"/>
                      <w:highlight w:val="none"/>
                    </w:rPr>
                  </w:pPr>
                  <w:r>
                    <w:rPr>
                      <w:rFonts w:hint="eastAsia"/>
                      <w:color w:val="auto"/>
                      <w:szCs w:val="21"/>
                      <w:highlight w:val="none"/>
                    </w:rPr>
                    <w:t>1年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61" w:type="dxa"/>
                  <w:noWrap w:val="0"/>
                  <w:vAlign w:val="center"/>
                </w:tcPr>
                <w:p>
                  <w:pPr>
                    <w:topLinePunct/>
                    <w:adjustRightInd w:val="0"/>
                    <w:snapToGrid w:val="0"/>
                    <w:spacing w:line="0" w:lineRule="atLeast"/>
                    <w:jc w:val="center"/>
                    <w:rPr>
                      <w:snapToGrid w:val="0"/>
                      <w:color w:val="auto"/>
                      <w:szCs w:val="21"/>
                      <w:highlight w:val="none"/>
                    </w:rPr>
                  </w:pPr>
                  <w:r>
                    <w:rPr>
                      <w:rFonts w:hint="eastAsia"/>
                      <w:color w:val="auto"/>
                      <w:szCs w:val="21"/>
                      <w:highlight w:val="none"/>
                    </w:rPr>
                    <w:t>4</w:t>
                  </w:r>
                </w:p>
              </w:tc>
              <w:tc>
                <w:tcPr>
                  <w:tcW w:w="702" w:type="dxa"/>
                  <w:vMerge w:val="continue"/>
                  <w:noWrap w:val="0"/>
                  <w:vAlign w:val="center"/>
                </w:tcPr>
                <w:p>
                  <w:pPr>
                    <w:adjustRightInd w:val="0"/>
                    <w:snapToGrid w:val="0"/>
                    <w:spacing w:line="0" w:lineRule="atLeast"/>
                    <w:jc w:val="center"/>
                    <w:rPr>
                      <w:snapToGrid w:val="0"/>
                      <w:color w:val="auto"/>
                      <w:szCs w:val="21"/>
                      <w:highlight w:val="none"/>
                    </w:rPr>
                  </w:pPr>
                </w:p>
              </w:tc>
              <w:tc>
                <w:tcPr>
                  <w:tcW w:w="1056" w:type="dxa"/>
                  <w:noWrap w:val="0"/>
                  <w:vAlign w:val="center"/>
                </w:tcPr>
                <w:p>
                  <w:pPr>
                    <w:topLinePunct/>
                    <w:adjustRightInd w:val="0"/>
                    <w:snapToGrid w:val="0"/>
                    <w:spacing w:line="0" w:lineRule="atLeast"/>
                    <w:jc w:val="center"/>
                    <w:rPr>
                      <w:snapToGrid w:val="0"/>
                      <w:color w:val="auto"/>
                      <w:szCs w:val="21"/>
                      <w:highlight w:val="none"/>
                    </w:rPr>
                  </w:pPr>
                  <w:r>
                    <w:rPr>
                      <w:color w:val="auto"/>
                      <w:szCs w:val="21"/>
                      <w:highlight w:val="none"/>
                    </w:rPr>
                    <w:t>废包装桶</w:t>
                  </w:r>
                </w:p>
              </w:tc>
              <w:tc>
                <w:tcPr>
                  <w:tcW w:w="1082" w:type="dxa"/>
                  <w:noWrap w:val="0"/>
                  <w:vAlign w:val="center"/>
                </w:tcPr>
                <w:p>
                  <w:pPr>
                    <w:widowControl/>
                    <w:jc w:val="center"/>
                    <w:rPr>
                      <w:color w:val="auto"/>
                      <w:szCs w:val="21"/>
                      <w:highlight w:val="none"/>
                    </w:rPr>
                  </w:pPr>
                  <w:r>
                    <w:rPr>
                      <w:color w:val="auto"/>
                      <w:szCs w:val="21"/>
                      <w:highlight w:val="none"/>
                    </w:rPr>
                    <w:t>HW</w:t>
                  </w:r>
                  <w:r>
                    <w:rPr>
                      <w:rFonts w:hint="eastAsia"/>
                      <w:color w:val="auto"/>
                      <w:szCs w:val="21"/>
                      <w:highlight w:val="none"/>
                      <w:lang w:val="en-US" w:eastAsia="zh-CN"/>
                    </w:rPr>
                    <w:t>08</w:t>
                  </w:r>
                </w:p>
              </w:tc>
              <w:tc>
                <w:tcPr>
                  <w:tcW w:w="1316" w:type="dxa"/>
                  <w:noWrap w:val="0"/>
                  <w:vAlign w:val="center"/>
                </w:tcPr>
                <w:p>
                  <w:pPr>
                    <w:widowControl/>
                    <w:jc w:val="center"/>
                    <w:rPr>
                      <w:rFonts w:hint="default" w:eastAsia="宋体"/>
                      <w:color w:val="auto"/>
                      <w:szCs w:val="21"/>
                      <w:highlight w:val="none"/>
                      <w:lang w:val="en-US" w:eastAsia="zh-CN"/>
                    </w:rPr>
                  </w:pPr>
                  <w:r>
                    <w:rPr>
                      <w:color w:val="auto"/>
                      <w:szCs w:val="21"/>
                      <w:highlight w:val="none"/>
                    </w:rPr>
                    <w:t>900-</w:t>
                  </w:r>
                  <w:r>
                    <w:rPr>
                      <w:rFonts w:hint="eastAsia"/>
                      <w:color w:val="auto"/>
                      <w:szCs w:val="21"/>
                      <w:highlight w:val="none"/>
                      <w:lang w:val="en-US" w:eastAsia="zh-CN"/>
                    </w:rPr>
                    <w:t>249</w:t>
                  </w:r>
                  <w:r>
                    <w:rPr>
                      <w:color w:val="auto"/>
                      <w:szCs w:val="21"/>
                      <w:highlight w:val="none"/>
                    </w:rPr>
                    <w:t>-</w:t>
                  </w:r>
                  <w:r>
                    <w:rPr>
                      <w:rFonts w:hint="eastAsia"/>
                      <w:color w:val="auto"/>
                      <w:szCs w:val="21"/>
                      <w:highlight w:val="none"/>
                      <w:lang w:val="en-US" w:eastAsia="zh-CN"/>
                    </w:rPr>
                    <w:t>08</w:t>
                  </w:r>
                </w:p>
              </w:tc>
              <w:tc>
                <w:tcPr>
                  <w:tcW w:w="730" w:type="dxa"/>
                  <w:vMerge w:val="continue"/>
                  <w:noWrap w:val="0"/>
                  <w:vAlign w:val="center"/>
                </w:tcPr>
                <w:p>
                  <w:pPr>
                    <w:adjustRightInd w:val="0"/>
                    <w:snapToGrid w:val="0"/>
                    <w:spacing w:line="0" w:lineRule="atLeast"/>
                    <w:jc w:val="center"/>
                    <w:rPr>
                      <w:snapToGrid w:val="0"/>
                      <w:color w:val="auto"/>
                      <w:szCs w:val="21"/>
                      <w:highlight w:val="none"/>
                    </w:rPr>
                  </w:pPr>
                </w:p>
              </w:tc>
              <w:tc>
                <w:tcPr>
                  <w:tcW w:w="788" w:type="dxa"/>
                  <w:noWrap w:val="0"/>
                  <w:vAlign w:val="center"/>
                </w:tcPr>
                <w:p>
                  <w:pPr>
                    <w:adjustRightInd w:val="0"/>
                    <w:snapToGrid w:val="0"/>
                    <w:spacing w:line="0" w:lineRule="atLeast"/>
                    <w:jc w:val="center"/>
                    <w:rPr>
                      <w:snapToGrid w:val="0"/>
                      <w:color w:val="auto"/>
                      <w:szCs w:val="21"/>
                      <w:highlight w:val="none"/>
                    </w:rPr>
                  </w:pPr>
                  <w:r>
                    <w:rPr>
                      <w:rFonts w:hint="eastAsia"/>
                      <w:snapToGrid w:val="0"/>
                      <w:color w:val="auto"/>
                      <w:szCs w:val="21"/>
                      <w:highlight w:val="none"/>
                    </w:rPr>
                    <w:t>2.0</w:t>
                  </w:r>
                  <w:r>
                    <w:rPr>
                      <w:snapToGrid w:val="0"/>
                      <w:color w:val="auto"/>
                      <w:szCs w:val="21"/>
                      <w:highlight w:val="none"/>
                    </w:rPr>
                    <w:t>m</w:t>
                  </w:r>
                  <w:r>
                    <w:rPr>
                      <w:snapToGrid w:val="0"/>
                      <w:color w:val="auto"/>
                      <w:szCs w:val="21"/>
                      <w:highlight w:val="none"/>
                      <w:vertAlign w:val="superscript"/>
                    </w:rPr>
                    <w:t>2</w:t>
                  </w:r>
                </w:p>
              </w:tc>
              <w:tc>
                <w:tcPr>
                  <w:tcW w:w="1275" w:type="dxa"/>
                  <w:noWrap w:val="0"/>
                  <w:vAlign w:val="center"/>
                </w:tcPr>
                <w:p>
                  <w:pPr>
                    <w:adjustRightInd w:val="0"/>
                    <w:snapToGrid w:val="0"/>
                    <w:spacing w:line="0" w:lineRule="atLeast"/>
                    <w:jc w:val="center"/>
                    <w:rPr>
                      <w:snapToGrid w:val="0"/>
                      <w:color w:val="auto"/>
                      <w:szCs w:val="21"/>
                      <w:highlight w:val="none"/>
                    </w:rPr>
                  </w:pPr>
                  <w:r>
                    <w:rPr>
                      <w:snapToGrid w:val="0"/>
                      <w:color w:val="auto"/>
                      <w:szCs w:val="21"/>
                      <w:highlight w:val="none"/>
                    </w:rPr>
                    <w:t>直</w:t>
                  </w:r>
                  <w:r>
                    <w:rPr>
                      <w:rFonts w:hint="eastAsia"/>
                      <w:snapToGrid w:val="0"/>
                      <w:color w:val="auto"/>
                      <w:szCs w:val="21"/>
                      <w:highlight w:val="none"/>
                    </w:rPr>
                    <w:t>原盖封存</w:t>
                  </w:r>
                </w:p>
              </w:tc>
              <w:tc>
                <w:tcPr>
                  <w:tcW w:w="854" w:type="dxa"/>
                  <w:noWrap w:val="0"/>
                  <w:vAlign w:val="center"/>
                </w:tcPr>
                <w:p>
                  <w:pPr>
                    <w:adjustRightInd w:val="0"/>
                    <w:snapToGrid w:val="0"/>
                    <w:spacing w:line="0" w:lineRule="atLeast"/>
                    <w:jc w:val="center"/>
                    <w:rPr>
                      <w:snapToGrid w:val="0"/>
                      <w:color w:val="auto"/>
                      <w:szCs w:val="21"/>
                      <w:highlight w:val="none"/>
                    </w:rPr>
                  </w:pPr>
                  <w:r>
                    <w:rPr>
                      <w:rFonts w:hint="eastAsia"/>
                      <w:snapToGrid w:val="0"/>
                      <w:color w:val="auto"/>
                      <w:szCs w:val="21"/>
                      <w:highlight w:val="none"/>
                    </w:rPr>
                    <w:t>8</w:t>
                  </w:r>
                  <w:r>
                    <w:rPr>
                      <w:rFonts w:hint="eastAsia"/>
                      <w:snapToGrid w:val="0"/>
                      <w:color w:val="auto"/>
                      <w:szCs w:val="21"/>
                      <w:highlight w:val="none"/>
                      <w:lang w:val="en-US" w:eastAsia="zh-CN"/>
                    </w:rPr>
                    <w:t>8</w:t>
                  </w:r>
                  <w:r>
                    <w:rPr>
                      <w:rFonts w:hint="eastAsia"/>
                      <w:snapToGrid w:val="0"/>
                      <w:color w:val="auto"/>
                      <w:szCs w:val="21"/>
                      <w:highlight w:val="none"/>
                    </w:rPr>
                    <w:t>个/a</w:t>
                  </w:r>
                </w:p>
              </w:tc>
              <w:tc>
                <w:tcPr>
                  <w:tcW w:w="691" w:type="dxa"/>
                  <w:noWrap w:val="0"/>
                  <w:vAlign w:val="center"/>
                </w:tcPr>
                <w:p>
                  <w:pPr>
                    <w:jc w:val="center"/>
                    <w:rPr>
                      <w:color w:val="auto"/>
                      <w:highlight w:val="none"/>
                    </w:rPr>
                  </w:pPr>
                  <w:r>
                    <w:rPr>
                      <w:rFonts w:hint="eastAsia"/>
                      <w:color w:val="auto"/>
                      <w:szCs w:val="21"/>
                      <w:highlight w:val="none"/>
                    </w:rPr>
                    <w:t>1年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61" w:type="dxa"/>
                  <w:noWrap w:val="0"/>
                  <w:vAlign w:val="center"/>
                </w:tcPr>
                <w:p>
                  <w:pPr>
                    <w:topLinePunct/>
                    <w:adjustRightInd w:val="0"/>
                    <w:snapToGrid w:val="0"/>
                    <w:spacing w:line="0" w:lineRule="atLeast"/>
                    <w:jc w:val="center"/>
                    <w:rPr>
                      <w:rFonts w:hint="eastAsia" w:eastAsia="宋体"/>
                      <w:color w:val="auto"/>
                      <w:szCs w:val="21"/>
                      <w:highlight w:val="none"/>
                      <w:lang w:val="en-US" w:eastAsia="zh-CN"/>
                    </w:rPr>
                  </w:pPr>
                  <w:r>
                    <w:rPr>
                      <w:rFonts w:hint="eastAsia"/>
                      <w:color w:val="auto"/>
                      <w:szCs w:val="21"/>
                      <w:highlight w:val="none"/>
                      <w:lang w:val="en-US" w:eastAsia="zh-CN"/>
                    </w:rPr>
                    <w:t>5</w:t>
                  </w:r>
                </w:p>
              </w:tc>
              <w:tc>
                <w:tcPr>
                  <w:tcW w:w="702" w:type="dxa"/>
                  <w:vMerge w:val="continue"/>
                  <w:noWrap w:val="0"/>
                  <w:vAlign w:val="center"/>
                </w:tcPr>
                <w:p>
                  <w:pPr>
                    <w:adjustRightInd w:val="0"/>
                    <w:snapToGrid w:val="0"/>
                    <w:spacing w:line="0" w:lineRule="atLeast"/>
                    <w:jc w:val="center"/>
                    <w:rPr>
                      <w:snapToGrid w:val="0"/>
                      <w:color w:val="auto"/>
                      <w:szCs w:val="21"/>
                      <w:highlight w:val="none"/>
                    </w:rPr>
                  </w:pPr>
                </w:p>
              </w:tc>
              <w:tc>
                <w:tcPr>
                  <w:tcW w:w="1056" w:type="dxa"/>
                  <w:noWrap w:val="0"/>
                  <w:vAlign w:val="center"/>
                </w:tcPr>
                <w:p>
                  <w:pPr>
                    <w:topLinePunct/>
                    <w:adjustRightInd w:val="0"/>
                    <w:snapToGrid w:val="0"/>
                    <w:spacing w:line="0" w:lineRule="atLeast"/>
                    <w:jc w:val="center"/>
                    <w:rPr>
                      <w:rFonts w:hint="eastAsia" w:eastAsia="宋体"/>
                      <w:color w:val="auto"/>
                      <w:szCs w:val="21"/>
                      <w:highlight w:val="none"/>
                      <w:lang w:eastAsia="zh-CN"/>
                    </w:rPr>
                  </w:pPr>
                  <w:r>
                    <w:rPr>
                      <w:rFonts w:hint="eastAsia"/>
                      <w:color w:val="auto"/>
                      <w:szCs w:val="21"/>
                      <w:highlight w:val="none"/>
                      <w:lang w:eastAsia="zh-CN"/>
                    </w:rPr>
                    <w:t>含油废抹布及废手套</w:t>
                  </w:r>
                </w:p>
              </w:tc>
              <w:tc>
                <w:tcPr>
                  <w:tcW w:w="1082" w:type="dxa"/>
                  <w:noWrap w:val="0"/>
                  <w:vAlign w:val="center"/>
                </w:tcPr>
                <w:p>
                  <w:pPr>
                    <w:widowControl/>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HW49其他废物</w:t>
                  </w:r>
                </w:p>
              </w:tc>
              <w:tc>
                <w:tcPr>
                  <w:tcW w:w="1316" w:type="dxa"/>
                  <w:noWrap w:val="0"/>
                  <w:vAlign w:val="center"/>
                </w:tcPr>
                <w:p>
                  <w:pPr>
                    <w:widowControl/>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900-041-49</w:t>
                  </w:r>
                </w:p>
              </w:tc>
              <w:tc>
                <w:tcPr>
                  <w:tcW w:w="730" w:type="dxa"/>
                  <w:vMerge w:val="continue"/>
                  <w:noWrap w:val="0"/>
                  <w:vAlign w:val="center"/>
                </w:tcPr>
                <w:p>
                  <w:pPr>
                    <w:adjustRightInd w:val="0"/>
                    <w:snapToGrid w:val="0"/>
                    <w:spacing w:line="0" w:lineRule="atLeast"/>
                    <w:jc w:val="center"/>
                    <w:rPr>
                      <w:snapToGrid w:val="0"/>
                      <w:color w:val="auto"/>
                      <w:szCs w:val="21"/>
                      <w:highlight w:val="none"/>
                    </w:rPr>
                  </w:pPr>
                </w:p>
              </w:tc>
              <w:tc>
                <w:tcPr>
                  <w:tcW w:w="788" w:type="dxa"/>
                  <w:noWrap w:val="0"/>
                  <w:vAlign w:val="center"/>
                </w:tcPr>
                <w:p>
                  <w:pPr>
                    <w:adjustRightInd w:val="0"/>
                    <w:snapToGrid w:val="0"/>
                    <w:spacing w:line="0" w:lineRule="atLeast"/>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0.3</w:t>
                  </w:r>
                  <w:r>
                    <w:rPr>
                      <w:snapToGrid w:val="0"/>
                      <w:color w:val="auto"/>
                      <w:szCs w:val="21"/>
                      <w:highlight w:val="none"/>
                    </w:rPr>
                    <w:t>m</w:t>
                  </w:r>
                  <w:r>
                    <w:rPr>
                      <w:snapToGrid w:val="0"/>
                      <w:color w:val="auto"/>
                      <w:szCs w:val="21"/>
                      <w:highlight w:val="none"/>
                      <w:vertAlign w:val="superscript"/>
                    </w:rPr>
                    <w:t>2</w:t>
                  </w:r>
                </w:p>
              </w:tc>
              <w:tc>
                <w:tcPr>
                  <w:tcW w:w="1275" w:type="dxa"/>
                  <w:noWrap w:val="0"/>
                  <w:vAlign w:val="center"/>
                </w:tcPr>
                <w:p>
                  <w:pPr>
                    <w:adjustRightInd w:val="0"/>
                    <w:snapToGrid w:val="0"/>
                    <w:spacing w:line="0" w:lineRule="atLeast"/>
                    <w:jc w:val="center"/>
                    <w:rPr>
                      <w:rFonts w:hint="eastAsia" w:ascii="Times New Roman" w:hAnsi="Times New Roman" w:eastAsia="宋体" w:cs="宋体"/>
                      <w:snapToGrid w:val="0"/>
                      <w:color w:val="auto"/>
                      <w:kern w:val="2"/>
                      <w:sz w:val="21"/>
                      <w:szCs w:val="21"/>
                      <w:highlight w:val="none"/>
                      <w:lang w:val="en-US" w:eastAsia="zh-CN" w:bidi="ar-SA"/>
                    </w:rPr>
                  </w:pPr>
                  <w:r>
                    <w:rPr>
                      <w:rFonts w:hint="eastAsia" w:cs="宋体"/>
                      <w:snapToGrid w:val="0"/>
                      <w:color w:val="auto"/>
                      <w:szCs w:val="21"/>
                      <w:highlight w:val="none"/>
                    </w:rPr>
                    <w:t>封闭桶盛装</w:t>
                  </w:r>
                </w:p>
              </w:tc>
              <w:tc>
                <w:tcPr>
                  <w:tcW w:w="854" w:type="dxa"/>
                  <w:noWrap w:val="0"/>
                  <w:vAlign w:val="center"/>
                </w:tcPr>
                <w:p>
                  <w:pPr>
                    <w:adjustRightInd w:val="0"/>
                    <w:snapToGrid w:val="0"/>
                    <w:spacing w:line="0" w:lineRule="atLeast"/>
                    <w:jc w:val="center"/>
                    <w:rPr>
                      <w:rFonts w:hint="eastAsia" w:ascii="Times New Roman" w:hAnsi="Times New Roman" w:eastAsia="宋体" w:cs="Times New Roman"/>
                      <w:snapToGrid w:val="0"/>
                      <w:color w:val="auto"/>
                      <w:kern w:val="2"/>
                      <w:sz w:val="21"/>
                      <w:szCs w:val="21"/>
                      <w:highlight w:val="none"/>
                      <w:lang w:val="en-US" w:eastAsia="zh-CN" w:bidi="ar-SA"/>
                    </w:rPr>
                  </w:pPr>
                  <w:r>
                    <w:rPr>
                      <w:rFonts w:hint="eastAsia"/>
                      <w:snapToGrid w:val="0"/>
                      <w:color w:val="auto"/>
                      <w:szCs w:val="21"/>
                      <w:highlight w:val="none"/>
                      <w:lang w:val="en-US" w:eastAsia="zh-CN"/>
                    </w:rPr>
                    <w:t>4.0</w:t>
                  </w:r>
                  <w:r>
                    <w:rPr>
                      <w:snapToGrid w:val="0"/>
                      <w:color w:val="auto"/>
                      <w:szCs w:val="21"/>
                      <w:highlight w:val="none"/>
                    </w:rPr>
                    <w:t>t/a</w:t>
                  </w:r>
                </w:p>
              </w:tc>
              <w:tc>
                <w:tcPr>
                  <w:tcW w:w="691" w:type="dxa"/>
                  <w:noWrap w:val="0"/>
                  <w:vAlign w:val="center"/>
                </w:tcPr>
                <w:p>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61" w:type="dxa"/>
                  <w:noWrap w:val="0"/>
                  <w:vAlign w:val="center"/>
                </w:tcPr>
                <w:p>
                  <w:pPr>
                    <w:topLinePunct/>
                    <w:adjustRightInd w:val="0"/>
                    <w:snapToGrid w:val="0"/>
                    <w:spacing w:line="0" w:lineRule="atLeast"/>
                    <w:jc w:val="center"/>
                    <w:rPr>
                      <w:snapToGrid w:val="0"/>
                      <w:color w:val="auto"/>
                      <w:szCs w:val="21"/>
                      <w:highlight w:val="none"/>
                    </w:rPr>
                  </w:pPr>
                  <w:r>
                    <w:rPr>
                      <w:snapToGrid w:val="0"/>
                      <w:color w:val="auto"/>
                      <w:szCs w:val="21"/>
                      <w:highlight w:val="none"/>
                    </w:rPr>
                    <w:t>合计</w:t>
                  </w:r>
                </w:p>
              </w:tc>
              <w:tc>
                <w:tcPr>
                  <w:tcW w:w="702" w:type="dxa"/>
                  <w:noWrap w:val="0"/>
                  <w:vAlign w:val="center"/>
                </w:tcPr>
                <w:p>
                  <w:pPr>
                    <w:jc w:val="center"/>
                    <w:rPr>
                      <w:color w:val="auto"/>
                      <w:highlight w:val="none"/>
                    </w:rPr>
                  </w:pPr>
                  <w:r>
                    <w:rPr>
                      <w:rFonts w:hint="eastAsia"/>
                      <w:color w:val="auto"/>
                      <w:szCs w:val="21"/>
                      <w:highlight w:val="none"/>
                    </w:rPr>
                    <w:t>—</w:t>
                  </w:r>
                </w:p>
              </w:tc>
              <w:tc>
                <w:tcPr>
                  <w:tcW w:w="1056" w:type="dxa"/>
                  <w:noWrap w:val="0"/>
                  <w:vAlign w:val="center"/>
                </w:tcPr>
                <w:p>
                  <w:pPr>
                    <w:jc w:val="center"/>
                    <w:rPr>
                      <w:color w:val="auto"/>
                      <w:highlight w:val="none"/>
                    </w:rPr>
                  </w:pPr>
                  <w:r>
                    <w:rPr>
                      <w:rFonts w:hint="eastAsia"/>
                      <w:color w:val="auto"/>
                      <w:szCs w:val="21"/>
                      <w:highlight w:val="none"/>
                    </w:rPr>
                    <w:t>—</w:t>
                  </w:r>
                </w:p>
              </w:tc>
              <w:tc>
                <w:tcPr>
                  <w:tcW w:w="1082" w:type="dxa"/>
                  <w:noWrap w:val="0"/>
                  <w:vAlign w:val="center"/>
                </w:tcPr>
                <w:p>
                  <w:pPr>
                    <w:jc w:val="center"/>
                    <w:rPr>
                      <w:color w:val="auto"/>
                      <w:highlight w:val="none"/>
                    </w:rPr>
                  </w:pPr>
                  <w:r>
                    <w:rPr>
                      <w:rFonts w:hint="eastAsia"/>
                      <w:color w:val="auto"/>
                      <w:szCs w:val="21"/>
                      <w:highlight w:val="none"/>
                    </w:rPr>
                    <w:t>—</w:t>
                  </w:r>
                </w:p>
              </w:tc>
              <w:tc>
                <w:tcPr>
                  <w:tcW w:w="1316" w:type="dxa"/>
                  <w:noWrap w:val="0"/>
                  <w:vAlign w:val="center"/>
                </w:tcPr>
                <w:p>
                  <w:pPr>
                    <w:jc w:val="center"/>
                    <w:rPr>
                      <w:color w:val="auto"/>
                      <w:highlight w:val="none"/>
                    </w:rPr>
                  </w:pPr>
                  <w:r>
                    <w:rPr>
                      <w:rFonts w:hint="eastAsia"/>
                      <w:color w:val="auto"/>
                      <w:szCs w:val="21"/>
                      <w:highlight w:val="none"/>
                    </w:rPr>
                    <w:t>—</w:t>
                  </w:r>
                </w:p>
              </w:tc>
              <w:tc>
                <w:tcPr>
                  <w:tcW w:w="730" w:type="dxa"/>
                  <w:noWrap w:val="0"/>
                  <w:vAlign w:val="center"/>
                </w:tcPr>
                <w:p>
                  <w:pPr>
                    <w:adjustRightInd w:val="0"/>
                    <w:snapToGrid w:val="0"/>
                    <w:spacing w:line="0" w:lineRule="atLeast"/>
                    <w:jc w:val="center"/>
                    <w:rPr>
                      <w:snapToGrid w:val="0"/>
                      <w:color w:val="auto"/>
                      <w:szCs w:val="21"/>
                      <w:highlight w:val="none"/>
                    </w:rPr>
                  </w:pPr>
                  <w:r>
                    <w:rPr>
                      <w:rFonts w:hint="eastAsia"/>
                      <w:color w:val="auto"/>
                      <w:szCs w:val="21"/>
                      <w:highlight w:val="none"/>
                    </w:rPr>
                    <w:t>—</w:t>
                  </w:r>
                </w:p>
              </w:tc>
              <w:tc>
                <w:tcPr>
                  <w:tcW w:w="788" w:type="dxa"/>
                  <w:noWrap w:val="0"/>
                  <w:vAlign w:val="center"/>
                </w:tcPr>
                <w:p>
                  <w:pPr>
                    <w:adjustRightInd w:val="0"/>
                    <w:snapToGrid w:val="0"/>
                    <w:spacing w:line="0" w:lineRule="atLeast"/>
                    <w:jc w:val="center"/>
                    <w:rPr>
                      <w:snapToGrid w:val="0"/>
                      <w:color w:val="auto"/>
                      <w:szCs w:val="21"/>
                      <w:highlight w:val="none"/>
                    </w:rPr>
                  </w:pPr>
                  <w:r>
                    <w:rPr>
                      <w:rFonts w:hint="eastAsia"/>
                      <w:snapToGrid w:val="0"/>
                      <w:color w:val="auto"/>
                      <w:szCs w:val="21"/>
                      <w:highlight w:val="none"/>
                      <w:lang w:val="en-US" w:eastAsia="zh-CN"/>
                    </w:rPr>
                    <w:t>4.5</w:t>
                  </w:r>
                  <w:r>
                    <w:rPr>
                      <w:snapToGrid w:val="0"/>
                      <w:color w:val="auto"/>
                      <w:szCs w:val="21"/>
                      <w:highlight w:val="none"/>
                    </w:rPr>
                    <w:t>m</w:t>
                  </w:r>
                  <w:r>
                    <w:rPr>
                      <w:snapToGrid w:val="0"/>
                      <w:color w:val="auto"/>
                      <w:szCs w:val="21"/>
                      <w:highlight w:val="none"/>
                      <w:vertAlign w:val="superscript"/>
                    </w:rPr>
                    <w:t>2</w:t>
                  </w:r>
                </w:p>
              </w:tc>
              <w:tc>
                <w:tcPr>
                  <w:tcW w:w="1275" w:type="dxa"/>
                  <w:noWrap w:val="0"/>
                  <w:vAlign w:val="center"/>
                </w:tcPr>
                <w:p>
                  <w:pPr>
                    <w:jc w:val="center"/>
                    <w:rPr>
                      <w:color w:val="auto"/>
                      <w:highlight w:val="none"/>
                    </w:rPr>
                  </w:pPr>
                  <w:r>
                    <w:rPr>
                      <w:rFonts w:hint="eastAsia"/>
                      <w:color w:val="auto"/>
                      <w:szCs w:val="21"/>
                      <w:highlight w:val="none"/>
                    </w:rPr>
                    <w:t>—</w:t>
                  </w:r>
                </w:p>
              </w:tc>
              <w:tc>
                <w:tcPr>
                  <w:tcW w:w="854" w:type="dxa"/>
                  <w:noWrap w:val="0"/>
                  <w:vAlign w:val="center"/>
                </w:tcPr>
                <w:p>
                  <w:pPr>
                    <w:jc w:val="center"/>
                    <w:rPr>
                      <w:color w:val="auto"/>
                      <w:highlight w:val="none"/>
                    </w:rPr>
                  </w:pPr>
                  <w:r>
                    <w:rPr>
                      <w:rFonts w:hint="eastAsia"/>
                      <w:color w:val="auto"/>
                      <w:szCs w:val="21"/>
                      <w:highlight w:val="none"/>
                    </w:rPr>
                    <w:t>—</w:t>
                  </w:r>
                </w:p>
              </w:tc>
              <w:tc>
                <w:tcPr>
                  <w:tcW w:w="691" w:type="dxa"/>
                  <w:noWrap w:val="0"/>
                  <w:vAlign w:val="center"/>
                </w:tcPr>
                <w:p>
                  <w:pPr>
                    <w:jc w:val="center"/>
                    <w:rPr>
                      <w:color w:val="auto"/>
                      <w:highlight w:val="none"/>
                    </w:rPr>
                  </w:pPr>
                  <w:r>
                    <w:rPr>
                      <w:rFonts w:hint="eastAsia"/>
                      <w:color w:val="auto"/>
                      <w:szCs w:val="21"/>
                      <w:highlight w:val="none"/>
                    </w:rPr>
                    <w:t>—</w:t>
                  </w:r>
                </w:p>
              </w:tc>
            </w:tr>
          </w:tbl>
          <w:p>
            <w:pPr>
              <w:pStyle w:val="52"/>
              <w:spacing w:line="480" w:lineRule="exact"/>
              <w:jc w:val="left"/>
              <w:rPr>
                <w:color w:val="auto"/>
                <w:szCs w:val="25"/>
                <w:highlight w:val="none"/>
              </w:rPr>
            </w:pPr>
            <w:r>
              <w:rPr>
                <w:rFonts w:hint="eastAsia"/>
                <w:color w:val="auto"/>
                <w:highlight w:val="none"/>
              </w:rPr>
              <w:t>一、</w:t>
            </w:r>
            <w:r>
              <w:rPr>
                <w:color w:val="auto"/>
                <w:szCs w:val="25"/>
                <w:highlight w:val="none"/>
              </w:rPr>
              <w:t>危险废物贮存场所环境影响分析</w:t>
            </w:r>
          </w:p>
          <w:p>
            <w:pPr>
              <w:tabs>
                <w:tab w:val="left" w:pos="7380"/>
              </w:tabs>
              <w:spacing w:line="480" w:lineRule="exact"/>
              <w:ind w:firstLine="420" w:firstLineChars="200"/>
              <w:jc w:val="left"/>
              <w:rPr>
                <w:color w:val="auto"/>
                <w:sz w:val="24"/>
                <w:highlight w:val="none"/>
              </w:rPr>
            </w:pPr>
            <w:r>
              <w:rPr>
                <w:color w:val="auto"/>
                <w:highlight w:val="none"/>
              </w:rPr>
              <w:fldChar w:fldCharType="begin"/>
            </w:r>
            <w:r>
              <w:rPr>
                <w:color w:val="auto"/>
                <w:sz w:val="24"/>
                <w:highlight w:val="none"/>
              </w:rPr>
              <w:instrText xml:space="preserve"> = 1 \* GB3 \* MERGEFORMAT </w:instrText>
            </w:r>
            <w:r>
              <w:rPr>
                <w:color w:val="auto"/>
                <w:sz w:val="24"/>
                <w:highlight w:val="none"/>
              </w:rPr>
              <w:fldChar w:fldCharType="separate"/>
            </w:r>
            <w:r>
              <w:rPr>
                <w:rFonts w:hint="eastAsia" w:ascii="宋体" w:hAnsi="宋体" w:cs="宋体"/>
                <w:color w:val="auto"/>
                <w:highlight w:val="none"/>
              </w:rPr>
              <w:t>①</w:t>
            </w:r>
            <w:r>
              <w:rPr>
                <w:color w:val="auto"/>
                <w:sz w:val="24"/>
                <w:highlight w:val="none"/>
              </w:rPr>
              <w:fldChar w:fldCharType="end"/>
            </w:r>
            <w:r>
              <w:rPr>
                <w:color w:val="auto"/>
                <w:sz w:val="24"/>
                <w:highlight w:val="none"/>
              </w:rPr>
              <w:t>位置：</w:t>
            </w:r>
            <w:r>
              <w:rPr>
                <w:rFonts w:hint="eastAsia"/>
                <w:color w:val="auto"/>
                <w:sz w:val="24"/>
                <w:highlight w:val="none"/>
                <w:lang w:eastAsia="zh-CN"/>
              </w:rPr>
              <w:t>现有</w:t>
            </w:r>
            <w:r>
              <w:rPr>
                <w:color w:val="auto"/>
                <w:sz w:val="24"/>
                <w:highlight w:val="none"/>
              </w:rPr>
              <w:t>危废暂存间设置于</w:t>
            </w:r>
            <w:r>
              <w:rPr>
                <w:rFonts w:hint="eastAsia"/>
                <w:color w:val="auto"/>
                <w:sz w:val="24"/>
                <w:highlight w:val="none"/>
                <w:lang w:eastAsia="zh-CN"/>
              </w:rPr>
              <w:t>厂区西</w:t>
            </w:r>
            <w:r>
              <w:rPr>
                <w:rFonts w:hint="eastAsia"/>
                <w:color w:val="auto"/>
                <w:sz w:val="24"/>
                <w:highlight w:val="none"/>
              </w:rPr>
              <w:t>南</w:t>
            </w:r>
            <w:r>
              <w:rPr>
                <w:color w:val="auto"/>
                <w:sz w:val="24"/>
                <w:highlight w:val="none"/>
              </w:rPr>
              <w:t>侧，距离最近敏感点为</w:t>
            </w:r>
            <w:r>
              <w:rPr>
                <w:rFonts w:hint="eastAsia"/>
                <w:color w:val="auto"/>
                <w:sz w:val="24"/>
                <w:highlight w:val="none"/>
                <w:lang w:eastAsia="zh-CN"/>
              </w:rPr>
              <w:t>厂区北</w:t>
            </w:r>
            <w:r>
              <w:rPr>
                <w:color w:val="auto"/>
                <w:sz w:val="24"/>
                <w:highlight w:val="none"/>
              </w:rPr>
              <w:t>侧</w:t>
            </w:r>
            <w:r>
              <w:rPr>
                <w:rFonts w:hint="eastAsia"/>
                <w:color w:val="auto"/>
                <w:sz w:val="24"/>
                <w:highlight w:val="none"/>
                <w:lang w:val="en-US" w:eastAsia="zh-CN"/>
              </w:rPr>
              <w:t>90</w:t>
            </w:r>
            <w:r>
              <w:rPr>
                <w:rFonts w:hint="eastAsia"/>
                <w:color w:val="auto"/>
                <w:sz w:val="24"/>
                <w:highlight w:val="none"/>
              </w:rPr>
              <w:t>0</w:t>
            </w:r>
            <w:r>
              <w:rPr>
                <w:color w:val="auto"/>
                <w:sz w:val="24"/>
                <w:highlight w:val="none"/>
              </w:rPr>
              <w:t>m处的</w:t>
            </w:r>
            <w:r>
              <w:rPr>
                <w:rFonts w:hint="eastAsia"/>
                <w:color w:val="auto"/>
                <w:sz w:val="24"/>
                <w:highlight w:val="none"/>
                <w:lang w:val="en-US" w:eastAsia="zh-CN"/>
              </w:rPr>
              <w:t>任官营村</w:t>
            </w:r>
            <w:r>
              <w:rPr>
                <w:color w:val="auto"/>
                <w:sz w:val="24"/>
                <w:highlight w:val="none"/>
              </w:rPr>
              <w:t>，距离较远，不会对周围人群造成影响；</w:t>
            </w:r>
            <w:r>
              <w:rPr>
                <w:rFonts w:hint="eastAsia"/>
                <w:color w:val="auto"/>
                <w:sz w:val="24"/>
                <w:highlight w:val="none"/>
              </w:rPr>
              <w:t>本项目危废暂存间</w:t>
            </w:r>
            <w:r>
              <w:rPr>
                <w:color w:val="auto"/>
                <w:sz w:val="24"/>
                <w:highlight w:val="none"/>
              </w:rPr>
              <w:t>四周壁与底面隔离层连成整体，并做到防风、防雨、防晒；地面和裙角需做防渗处理，防渗层采用2mm厚度HDPE膜，渗透系数不大于1×10</w:t>
            </w:r>
            <w:r>
              <w:rPr>
                <w:color w:val="auto"/>
                <w:sz w:val="24"/>
                <w:highlight w:val="none"/>
                <w:vertAlign w:val="superscript"/>
              </w:rPr>
              <w:t>-10</w:t>
            </w:r>
            <w:r>
              <w:rPr>
                <w:color w:val="auto"/>
                <w:sz w:val="24"/>
                <w:highlight w:val="none"/>
              </w:rPr>
              <w:t>cm/s。根据国家地震资料，本地区地震基本烈度为7度；危废暂存间周边最高水位埋深大于5m，危废暂存间设置于地面上，底部高于地下水最高水位；危废暂存间周边无易燃、易爆等危险品仓库；</w:t>
            </w:r>
            <w:r>
              <w:rPr>
                <w:rFonts w:hint="eastAsia"/>
                <w:color w:val="auto"/>
                <w:sz w:val="24"/>
                <w:highlight w:val="none"/>
                <w:lang w:eastAsia="zh-CN"/>
              </w:rPr>
              <w:t>厂区距离水源地准保护区</w:t>
            </w:r>
            <w:r>
              <w:rPr>
                <w:rFonts w:hint="eastAsia"/>
                <w:color w:val="auto"/>
                <w:kern w:val="0"/>
                <w:sz w:val="24"/>
                <w:highlight w:val="none"/>
                <w:lang w:val="en-US" w:eastAsia="zh-CN"/>
              </w:rPr>
              <w:t>2870m，距离西沙河生态红线2150m，</w:t>
            </w:r>
            <w:r>
              <w:rPr>
                <w:rFonts w:hint="eastAsia"/>
                <w:color w:val="auto"/>
                <w:kern w:val="0"/>
                <w:sz w:val="24"/>
                <w:highlight w:val="none"/>
                <w:lang w:eastAsia="zh-CN"/>
              </w:rPr>
              <w:t>厂区周边无</w:t>
            </w:r>
            <w:r>
              <w:rPr>
                <w:color w:val="auto"/>
                <w:kern w:val="0"/>
                <w:sz w:val="24"/>
                <w:highlight w:val="none"/>
              </w:rPr>
              <w:t>自然保护区、风景名胜区、生态功能保护区、文物保护地等法律、法规规定的环境敏感区。</w:t>
            </w:r>
            <w:r>
              <w:rPr>
                <w:color w:val="auto"/>
                <w:sz w:val="24"/>
                <w:highlight w:val="none"/>
              </w:rPr>
              <w:t>因此项目选址合理。</w:t>
            </w:r>
          </w:p>
          <w:p>
            <w:pPr>
              <w:tabs>
                <w:tab w:val="left" w:pos="7380"/>
              </w:tabs>
              <w:spacing w:line="480" w:lineRule="exact"/>
              <w:ind w:firstLine="480" w:firstLineChars="200"/>
              <w:jc w:val="left"/>
              <w:rPr>
                <w:color w:val="auto"/>
                <w:sz w:val="24"/>
                <w:highlight w:val="none"/>
              </w:rPr>
            </w:pPr>
            <w:r>
              <w:rPr>
                <w:rFonts w:hint="eastAsia" w:ascii="宋体" w:hAnsi="宋体" w:cs="宋体"/>
                <w:color w:val="auto"/>
                <w:sz w:val="24"/>
                <w:highlight w:val="none"/>
              </w:rPr>
              <w:t>②</w:t>
            </w:r>
            <w:r>
              <w:rPr>
                <w:color w:val="auto"/>
                <w:sz w:val="24"/>
                <w:highlight w:val="none"/>
              </w:rPr>
              <w:t>储存能力：根据上述分析可知，本</w:t>
            </w:r>
            <w:r>
              <w:rPr>
                <w:rFonts w:hint="eastAsia"/>
                <w:color w:val="auto"/>
                <w:sz w:val="24"/>
                <w:highlight w:val="none"/>
                <w:lang w:eastAsia="zh-CN"/>
              </w:rPr>
              <w:t>次技改</w:t>
            </w:r>
            <w:r>
              <w:rPr>
                <w:color w:val="auto"/>
                <w:sz w:val="24"/>
                <w:highlight w:val="none"/>
              </w:rPr>
              <w:t>项目危废存储占用危废暂存间面积为</w:t>
            </w:r>
            <w:r>
              <w:rPr>
                <w:rFonts w:hint="eastAsia"/>
                <w:color w:val="auto"/>
                <w:sz w:val="24"/>
                <w:highlight w:val="none"/>
                <w:lang w:val="en-US" w:eastAsia="zh-CN"/>
              </w:rPr>
              <w:t>2</w:t>
            </w:r>
            <w:r>
              <w:rPr>
                <w:rFonts w:hint="eastAsia"/>
                <w:color w:val="auto"/>
                <w:sz w:val="24"/>
                <w:highlight w:val="none"/>
              </w:rPr>
              <w:t>.5</w:t>
            </w:r>
            <w:r>
              <w:rPr>
                <w:color w:val="auto"/>
                <w:sz w:val="24"/>
                <w:highlight w:val="none"/>
              </w:rPr>
              <w:t>m</w:t>
            </w:r>
            <w:r>
              <w:rPr>
                <w:color w:val="auto"/>
                <w:sz w:val="24"/>
                <w:highlight w:val="none"/>
                <w:vertAlign w:val="superscript"/>
              </w:rPr>
              <w:t>2</w:t>
            </w:r>
            <w:r>
              <w:rPr>
                <w:color w:val="auto"/>
                <w:sz w:val="24"/>
                <w:highlight w:val="none"/>
              </w:rPr>
              <w:t>。因此，</w:t>
            </w:r>
            <w:r>
              <w:rPr>
                <w:rFonts w:hint="eastAsia"/>
                <w:color w:val="auto"/>
                <w:sz w:val="24"/>
                <w:highlight w:val="none"/>
                <w:lang w:eastAsia="zh-CN"/>
              </w:rPr>
              <w:t>现有工程</w:t>
            </w:r>
            <w:r>
              <w:rPr>
                <w:color w:val="auto"/>
                <w:sz w:val="24"/>
                <w:highlight w:val="none"/>
              </w:rPr>
              <w:t>危废暂存间</w:t>
            </w:r>
            <w:r>
              <w:rPr>
                <w:rFonts w:hint="eastAsia"/>
                <w:color w:val="auto"/>
                <w:sz w:val="24"/>
                <w:highlight w:val="none"/>
                <w:lang w:eastAsia="zh-CN"/>
              </w:rPr>
              <w:t>剩余</w:t>
            </w:r>
            <w:r>
              <w:rPr>
                <w:color w:val="auto"/>
                <w:sz w:val="24"/>
                <w:highlight w:val="none"/>
              </w:rPr>
              <w:t>面积为</w:t>
            </w:r>
            <w:r>
              <w:rPr>
                <w:rFonts w:hint="eastAsia"/>
                <w:color w:val="auto"/>
                <w:sz w:val="24"/>
                <w:highlight w:val="none"/>
                <w:lang w:val="en-US" w:eastAsia="zh-CN"/>
              </w:rPr>
              <w:t>4.6</w:t>
            </w:r>
            <w:r>
              <w:rPr>
                <w:color w:val="auto"/>
                <w:sz w:val="24"/>
                <w:highlight w:val="none"/>
              </w:rPr>
              <w:t>m</w:t>
            </w:r>
            <w:r>
              <w:rPr>
                <w:color w:val="auto"/>
                <w:sz w:val="24"/>
                <w:highlight w:val="none"/>
                <w:vertAlign w:val="superscript"/>
              </w:rPr>
              <w:t>2</w:t>
            </w:r>
            <w:r>
              <w:rPr>
                <w:color w:val="auto"/>
                <w:sz w:val="24"/>
                <w:highlight w:val="none"/>
              </w:rPr>
              <w:t>，可满足要求。</w:t>
            </w:r>
          </w:p>
          <w:p>
            <w:pPr>
              <w:tabs>
                <w:tab w:val="left" w:pos="7380"/>
              </w:tabs>
              <w:spacing w:line="480" w:lineRule="exact"/>
              <w:ind w:firstLine="480" w:firstLineChars="200"/>
              <w:jc w:val="left"/>
              <w:rPr>
                <w:color w:val="auto"/>
                <w:sz w:val="24"/>
                <w:highlight w:val="none"/>
              </w:rPr>
            </w:pPr>
            <w:r>
              <w:rPr>
                <w:rFonts w:hint="eastAsia" w:ascii="宋体" w:hAnsi="宋体" w:cs="宋体"/>
                <w:color w:val="auto"/>
                <w:sz w:val="24"/>
                <w:highlight w:val="none"/>
              </w:rPr>
              <w:t>③</w:t>
            </w:r>
            <w:r>
              <w:rPr>
                <w:color w:val="auto"/>
                <w:sz w:val="24"/>
                <w:highlight w:val="none"/>
              </w:rPr>
              <w:t>对周围环境的影响：本</w:t>
            </w:r>
            <w:r>
              <w:rPr>
                <w:rFonts w:hint="eastAsia"/>
                <w:color w:val="auto"/>
                <w:sz w:val="24"/>
                <w:highlight w:val="none"/>
                <w:lang w:eastAsia="zh-CN"/>
              </w:rPr>
              <w:t>次技改</w:t>
            </w:r>
            <w:r>
              <w:rPr>
                <w:color w:val="auto"/>
                <w:sz w:val="24"/>
                <w:highlight w:val="none"/>
              </w:rPr>
              <w:t>项目产生的废润滑油</w:t>
            </w:r>
            <w:r>
              <w:rPr>
                <w:rFonts w:hint="eastAsia"/>
                <w:color w:val="auto"/>
                <w:sz w:val="24"/>
                <w:highlight w:val="none"/>
              </w:rPr>
              <w:t>、废切削液、废液压油</w:t>
            </w:r>
            <w:r>
              <w:rPr>
                <w:rFonts w:hint="eastAsia"/>
                <w:color w:val="auto"/>
                <w:sz w:val="24"/>
                <w:highlight w:val="none"/>
                <w:lang w:eastAsia="zh-CN"/>
              </w:rPr>
              <w:t>、含油废抹布及废手套</w:t>
            </w:r>
            <w:r>
              <w:rPr>
                <w:color w:val="auto"/>
                <w:sz w:val="24"/>
                <w:highlight w:val="none"/>
              </w:rPr>
              <w:t>均</w:t>
            </w:r>
            <w:r>
              <w:rPr>
                <w:rFonts w:hint="eastAsia"/>
                <w:color w:val="auto"/>
                <w:sz w:val="24"/>
                <w:highlight w:val="none"/>
                <w:lang w:eastAsia="zh-CN"/>
              </w:rPr>
              <w:t>由</w:t>
            </w:r>
            <w:r>
              <w:rPr>
                <w:color w:val="auto"/>
                <w:sz w:val="24"/>
                <w:highlight w:val="none"/>
              </w:rPr>
              <w:t>人工收集后，盛装于封闭的桶中，再送入</w:t>
            </w:r>
            <w:r>
              <w:rPr>
                <w:rFonts w:hint="eastAsia"/>
                <w:color w:val="auto"/>
                <w:sz w:val="24"/>
                <w:highlight w:val="none"/>
              </w:rPr>
              <w:t>危废暂存间</w:t>
            </w:r>
            <w:r>
              <w:rPr>
                <w:color w:val="auto"/>
                <w:sz w:val="24"/>
                <w:highlight w:val="none"/>
              </w:rPr>
              <w:t>；</w:t>
            </w:r>
            <w:r>
              <w:rPr>
                <w:rFonts w:hint="eastAsia"/>
                <w:color w:val="auto"/>
                <w:sz w:val="24"/>
                <w:highlight w:val="none"/>
                <w:lang w:eastAsia="zh-CN"/>
              </w:rPr>
              <w:t>废包装桶</w:t>
            </w:r>
            <w:r>
              <w:rPr>
                <w:rFonts w:hint="eastAsia"/>
                <w:color w:val="auto"/>
                <w:sz w:val="24"/>
                <w:highlight w:val="none"/>
              </w:rPr>
              <w:t>原盖封存，</w:t>
            </w:r>
            <w:r>
              <w:rPr>
                <w:color w:val="auto"/>
                <w:sz w:val="24"/>
                <w:highlight w:val="none"/>
              </w:rPr>
              <w:t>人工收集后，直接转移至危废暂存间。危废暂存间进行了防渗处理，危险废物</w:t>
            </w:r>
            <w:r>
              <w:rPr>
                <w:rFonts w:hint="eastAsia"/>
                <w:color w:val="auto"/>
                <w:sz w:val="24"/>
                <w:highlight w:val="none"/>
              </w:rPr>
              <w:t>均</w:t>
            </w:r>
            <w:r>
              <w:rPr>
                <w:color w:val="auto"/>
                <w:sz w:val="24"/>
                <w:highlight w:val="none"/>
              </w:rPr>
              <w:t>委托有资质的单位处理；本环评要求企业编制突发环境事件应急预案，一旦发生风险事故，应立即启动突发环境事件应急预案，不会对周围环境造成影响。</w:t>
            </w:r>
          </w:p>
          <w:p>
            <w:pPr>
              <w:tabs>
                <w:tab w:val="left" w:pos="7380"/>
              </w:tabs>
              <w:spacing w:line="480" w:lineRule="exact"/>
              <w:ind w:firstLine="480" w:firstLineChars="200"/>
              <w:jc w:val="left"/>
              <w:rPr>
                <w:color w:val="auto"/>
                <w:sz w:val="24"/>
                <w:highlight w:val="none"/>
              </w:rPr>
            </w:pPr>
            <w:r>
              <w:rPr>
                <w:rFonts w:hint="eastAsia"/>
                <w:color w:val="auto"/>
                <w:sz w:val="24"/>
                <w:highlight w:val="none"/>
              </w:rPr>
              <w:t>二、</w:t>
            </w:r>
            <w:r>
              <w:rPr>
                <w:color w:val="auto"/>
                <w:sz w:val="24"/>
                <w:highlight w:val="none"/>
              </w:rPr>
              <w:t>运输过程的环境影响分析</w:t>
            </w:r>
          </w:p>
          <w:p>
            <w:pPr>
              <w:tabs>
                <w:tab w:val="left" w:pos="7380"/>
              </w:tabs>
              <w:spacing w:line="480" w:lineRule="exact"/>
              <w:ind w:firstLine="480" w:firstLineChars="200"/>
              <w:jc w:val="left"/>
              <w:rPr>
                <w:color w:val="auto"/>
                <w:sz w:val="24"/>
                <w:highlight w:val="none"/>
              </w:rPr>
            </w:pPr>
            <w:r>
              <w:rPr>
                <w:color w:val="auto"/>
                <w:sz w:val="24"/>
                <w:highlight w:val="none"/>
              </w:rPr>
              <w:t>本</w:t>
            </w:r>
            <w:r>
              <w:rPr>
                <w:rFonts w:hint="eastAsia"/>
                <w:color w:val="auto"/>
                <w:sz w:val="24"/>
                <w:highlight w:val="none"/>
                <w:lang w:eastAsia="zh-CN"/>
              </w:rPr>
              <w:t>次技改</w:t>
            </w:r>
            <w:r>
              <w:rPr>
                <w:color w:val="auto"/>
                <w:sz w:val="24"/>
                <w:highlight w:val="none"/>
              </w:rPr>
              <w:t>项目产生的废润滑油</w:t>
            </w:r>
            <w:r>
              <w:rPr>
                <w:rFonts w:hint="eastAsia"/>
                <w:color w:val="auto"/>
                <w:sz w:val="24"/>
                <w:highlight w:val="none"/>
              </w:rPr>
              <w:t>、废切削液、废液压油</w:t>
            </w:r>
            <w:r>
              <w:rPr>
                <w:rFonts w:hint="eastAsia"/>
                <w:color w:val="auto"/>
                <w:sz w:val="24"/>
                <w:highlight w:val="none"/>
                <w:lang w:eastAsia="zh-CN"/>
              </w:rPr>
              <w:t>、含油废抹布及废手套</w:t>
            </w:r>
            <w:r>
              <w:rPr>
                <w:rFonts w:hint="eastAsia"/>
                <w:color w:val="auto"/>
                <w:sz w:val="24"/>
                <w:highlight w:val="none"/>
              </w:rPr>
              <w:t>均</w:t>
            </w:r>
            <w:r>
              <w:rPr>
                <w:color w:val="auto"/>
                <w:sz w:val="24"/>
                <w:highlight w:val="none"/>
              </w:rPr>
              <w:t>置于专用容器/桶中后与</w:t>
            </w:r>
            <w:r>
              <w:rPr>
                <w:rFonts w:hint="eastAsia"/>
                <w:color w:val="auto"/>
                <w:sz w:val="24"/>
                <w:highlight w:val="none"/>
                <w:lang w:eastAsia="zh-CN"/>
              </w:rPr>
              <w:t>废包装桶</w:t>
            </w:r>
            <w:r>
              <w:rPr>
                <w:color w:val="auto"/>
                <w:sz w:val="24"/>
                <w:highlight w:val="none"/>
              </w:rPr>
              <w:t>一并运至</w:t>
            </w:r>
            <w:r>
              <w:rPr>
                <w:rFonts w:hint="eastAsia"/>
                <w:color w:val="auto"/>
                <w:sz w:val="24"/>
                <w:highlight w:val="none"/>
              </w:rPr>
              <w:t>危废暂存间</w:t>
            </w:r>
            <w:r>
              <w:rPr>
                <w:color w:val="auto"/>
                <w:sz w:val="24"/>
                <w:highlight w:val="none"/>
              </w:rPr>
              <w:t>；厂内运输采用</w:t>
            </w:r>
            <w:r>
              <w:rPr>
                <w:rFonts w:hint="eastAsia"/>
                <w:color w:val="auto"/>
                <w:sz w:val="24"/>
                <w:highlight w:val="none"/>
              </w:rPr>
              <w:t>人工</w:t>
            </w:r>
            <w:r>
              <w:rPr>
                <w:color w:val="auto"/>
                <w:sz w:val="24"/>
                <w:highlight w:val="none"/>
              </w:rPr>
              <w:t>由生产车间转运至危废暂存间，运输道路均硬化；厂区产生的</w:t>
            </w:r>
            <w:r>
              <w:rPr>
                <w:rFonts w:hint="eastAsia"/>
                <w:color w:val="auto"/>
                <w:sz w:val="24"/>
                <w:highlight w:val="none"/>
              </w:rPr>
              <w:t>危险废物</w:t>
            </w:r>
            <w:r>
              <w:rPr>
                <w:color w:val="auto"/>
                <w:sz w:val="24"/>
                <w:highlight w:val="none"/>
              </w:rPr>
              <w:t>均不易挥发，且危废暂存间满足防风、防雨、防晒、防渗漏等要求，并设置渗漏收集措施；一旦发生泄漏事故，应立即启动突发环境事件应急预案，不会对周围环境造成影响。</w:t>
            </w:r>
          </w:p>
          <w:p>
            <w:pPr>
              <w:tabs>
                <w:tab w:val="left" w:pos="7380"/>
              </w:tabs>
              <w:spacing w:line="480" w:lineRule="exact"/>
              <w:ind w:firstLine="480" w:firstLineChars="200"/>
              <w:jc w:val="left"/>
              <w:rPr>
                <w:color w:val="auto"/>
                <w:sz w:val="24"/>
                <w:highlight w:val="none"/>
              </w:rPr>
            </w:pPr>
            <w:r>
              <w:rPr>
                <w:color w:val="auto"/>
                <w:sz w:val="24"/>
                <w:highlight w:val="none"/>
              </w:rPr>
              <w:t>本</w:t>
            </w:r>
            <w:r>
              <w:rPr>
                <w:rFonts w:hint="eastAsia"/>
                <w:color w:val="auto"/>
                <w:sz w:val="24"/>
                <w:highlight w:val="none"/>
                <w:lang w:eastAsia="zh-CN"/>
              </w:rPr>
              <w:t>次技改</w:t>
            </w:r>
            <w:r>
              <w:rPr>
                <w:color w:val="auto"/>
                <w:sz w:val="24"/>
                <w:highlight w:val="none"/>
              </w:rPr>
              <w:t>项目产生的危险废物</w:t>
            </w:r>
            <w:r>
              <w:rPr>
                <w:rFonts w:hint="eastAsia"/>
                <w:color w:val="auto"/>
                <w:sz w:val="24"/>
                <w:highlight w:val="none"/>
              </w:rPr>
              <w:t>均</w:t>
            </w:r>
            <w:r>
              <w:rPr>
                <w:color w:val="auto"/>
                <w:sz w:val="24"/>
                <w:highlight w:val="none"/>
              </w:rPr>
              <w:t>委托有资质单位处理，危险废物厂外运输由该公司负责。</w:t>
            </w:r>
          </w:p>
          <w:p>
            <w:pPr>
              <w:tabs>
                <w:tab w:val="left" w:pos="7380"/>
              </w:tabs>
              <w:spacing w:line="480" w:lineRule="exact"/>
              <w:ind w:firstLine="480" w:firstLineChars="200"/>
              <w:jc w:val="left"/>
              <w:rPr>
                <w:color w:val="auto"/>
                <w:sz w:val="24"/>
                <w:highlight w:val="none"/>
              </w:rPr>
            </w:pPr>
            <w:r>
              <w:rPr>
                <w:color w:val="auto"/>
                <w:sz w:val="24"/>
                <w:highlight w:val="none"/>
              </w:rPr>
              <w:t>因此，</w:t>
            </w:r>
            <w:r>
              <w:rPr>
                <w:rFonts w:hint="eastAsia"/>
                <w:color w:val="auto"/>
                <w:sz w:val="24"/>
                <w:highlight w:val="none"/>
              </w:rPr>
              <w:t>本</w:t>
            </w:r>
            <w:r>
              <w:rPr>
                <w:rFonts w:hint="eastAsia"/>
                <w:color w:val="auto"/>
                <w:sz w:val="24"/>
                <w:highlight w:val="none"/>
                <w:lang w:eastAsia="zh-CN"/>
              </w:rPr>
              <w:t>次技改</w:t>
            </w:r>
            <w:r>
              <w:rPr>
                <w:rFonts w:hint="eastAsia"/>
                <w:color w:val="auto"/>
                <w:sz w:val="24"/>
                <w:highlight w:val="none"/>
              </w:rPr>
              <w:t>项目</w:t>
            </w:r>
            <w:r>
              <w:rPr>
                <w:color w:val="auto"/>
                <w:sz w:val="24"/>
                <w:highlight w:val="none"/>
              </w:rPr>
              <w:t>危险废物的运输过程不会对周围环境造成影响。</w:t>
            </w:r>
          </w:p>
          <w:p>
            <w:pPr>
              <w:tabs>
                <w:tab w:val="left" w:pos="7380"/>
              </w:tabs>
              <w:spacing w:line="480" w:lineRule="exact"/>
              <w:ind w:firstLine="480" w:firstLineChars="200"/>
              <w:jc w:val="left"/>
              <w:rPr>
                <w:color w:val="auto"/>
                <w:sz w:val="24"/>
                <w:highlight w:val="none"/>
              </w:rPr>
            </w:pPr>
            <w:r>
              <w:rPr>
                <w:rFonts w:hint="eastAsia"/>
                <w:color w:val="auto"/>
                <w:sz w:val="24"/>
                <w:highlight w:val="none"/>
              </w:rPr>
              <w:t>三、危险废物</w:t>
            </w:r>
            <w:r>
              <w:rPr>
                <w:color w:val="auto"/>
                <w:sz w:val="24"/>
                <w:highlight w:val="none"/>
              </w:rPr>
              <w:t>利用的环境影响分析</w:t>
            </w:r>
          </w:p>
          <w:p>
            <w:pPr>
              <w:tabs>
                <w:tab w:val="left" w:pos="7380"/>
              </w:tabs>
              <w:spacing w:line="480" w:lineRule="exact"/>
              <w:ind w:firstLine="480" w:firstLineChars="200"/>
              <w:jc w:val="left"/>
              <w:rPr>
                <w:color w:val="auto"/>
                <w:sz w:val="24"/>
                <w:highlight w:val="none"/>
              </w:rPr>
            </w:pPr>
            <w:r>
              <w:rPr>
                <w:color w:val="auto"/>
                <w:sz w:val="24"/>
                <w:highlight w:val="none"/>
              </w:rPr>
              <w:t>本项目产生的</w:t>
            </w:r>
            <w:r>
              <w:rPr>
                <w:rFonts w:hint="eastAsia"/>
                <w:color w:val="auto"/>
                <w:sz w:val="24"/>
                <w:highlight w:val="none"/>
              </w:rPr>
              <w:t>危险废物均</w:t>
            </w:r>
            <w:r>
              <w:rPr>
                <w:color w:val="auto"/>
                <w:sz w:val="24"/>
                <w:highlight w:val="none"/>
              </w:rPr>
              <w:t>不在厂区内利用，不会对环境造成影响。</w:t>
            </w:r>
          </w:p>
          <w:p>
            <w:pPr>
              <w:tabs>
                <w:tab w:val="left" w:pos="7380"/>
              </w:tabs>
              <w:spacing w:line="480" w:lineRule="exact"/>
              <w:ind w:firstLine="480" w:firstLineChars="200"/>
              <w:jc w:val="left"/>
              <w:rPr>
                <w:color w:val="auto"/>
                <w:sz w:val="24"/>
                <w:highlight w:val="none"/>
              </w:rPr>
            </w:pPr>
            <w:r>
              <w:rPr>
                <w:rFonts w:hint="eastAsia"/>
                <w:color w:val="auto"/>
                <w:sz w:val="24"/>
                <w:highlight w:val="none"/>
              </w:rPr>
              <w:t>四、</w:t>
            </w:r>
            <w:r>
              <w:rPr>
                <w:color w:val="auto"/>
                <w:sz w:val="24"/>
                <w:highlight w:val="none"/>
              </w:rPr>
              <w:t>委托利用的环境影响分析</w:t>
            </w:r>
          </w:p>
          <w:p>
            <w:pPr>
              <w:tabs>
                <w:tab w:val="left" w:pos="7380"/>
              </w:tabs>
              <w:spacing w:line="480" w:lineRule="exact"/>
              <w:ind w:firstLine="480" w:firstLineChars="200"/>
              <w:jc w:val="left"/>
              <w:rPr>
                <w:color w:val="auto"/>
                <w:sz w:val="24"/>
                <w:highlight w:val="none"/>
              </w:rPr>
            </w:pPr>
            <w:r>
              <w:rPr>
                <w:rFonts w:hint="eastAsia"/>
                <w:color w:val="auto"/>
                <w:sz w:val="24"/>
                <w:highlight w:val="none"/>
                <w:lang w:eastAsia="zh-CN"/>
              </w:rPr>
              <w:t>现有工程危险废物</w:t>
            </w:r>
            <w:r>
              <w:rPr>
                <w:color w:val="auto"/>
                <w:sz w:val="24"/>
                <w:highlight w:val="none"/>
              </w:rPr>
              <w:t>委托迁安市志诚润滑油有限公司处理，迁安市志诚润滑油有限公司，危险废物经营许可证编号：《冀危许201402号》），经营范围：HW08、HW49（900-039-49、900-041-49）、HW13；焚烧处置危险废物 7920 吨/年、综合利用废矿物油（HW08，非特定行业）20000 吨/年。</w:t>
            </w:r>
          </w:p>
          <w:p>
            <w:pPr>
              <w:tabs>
                <w:tab w:val="left" w:pos="7380"/>
              </w:tabs>
              <w:spacing w:line="480" w:lineRule="exact"/>
              <w:ind w:firstLine="480" w:firstLineChars="200"/>
              <w:jc w:val="left"/>
              <w:rPr>
                <w:color w:val="auto"/>
                <w:sz w:val="24"/>
                <w:highlight w:val="none"/>
              </w:rPr>
            </w:pPr>
            <w:r>
              <w:rPr>
                <w:color w:val="auto"/>
                <w:sz w:val="24"/>
                <w:highlight w:val="none"/>
              </w:rPr>
              <w:t>从距离本项目的距离、</w:t>
            </w:r>
            <w:r>
              <w:rPr>
                <w:rFonts w:hint="eastAsia"/>
                <w:color w:val="auto"/>
                <w:sz w:val="24"/>
                <w:highlight w:val="none"/>
              </w:rPr>
              <w:t>危险废物</w:t>
            </w:r>
            <w:r>
              <w:rPr>
                <w:color w:val="auto"/>
                <w:sz w:val="24"/>
                <w:highlight w:val="none"/>
              </w:rPr>
              <w:t>的处置范围角度考虑，建议企业将</w:t>
            </w:r>
            <w:r>
              <w:rPr>
                <w:rFonts w:hint="eastAsia"/>
                <w:color w:val="auto"/>
                <w:sz w:val="24"/>
                <w:highlight w:val="none"/>
                <w:lang w:eastAsia="zh-CN"/>
              </w:rPr>
              <w:t>技改项目</w:t>
            </w:r>
            <w:r>
              <w:rPr>
                <w:color w:val="auto"/>
                <w:sz w:val="24"/>
                <w:highlight w:val="none"/>
              </w:rPr>
              <w:t>产生的</w:t>
            </w:r>
            <w:r>
              <w:rPr>
                <w:rFonts w:hint="eastAsia"/>
                <w:color w:val="auto"/>
                <w:sz w:val="24"/>
                <w:highlight w:val="none"/>
              </w:rPr>
              <w:t>危险废物</w:t>
            </w:r>
            <w:r>
              <w:rPr>
                <w:color w:val="auto"/>
                <w:sz w:val="24"/>
                <w:highlight w:val="none"/>
              </w:rPr>
              <w:t>交由迁安市志诚润滑油有限公司处置。因此</w:t>
            </w:r>
            <w:r>
              <w:rPr>
                <w:rFonts w:hint="eastAsia"/>
                <w:color w:val="auto"/>
                <w:sz w:val="24"/>
                <w:highlight w:val="none"/>
              </w:rPr>
              <w:t>，危险废物</w:t>
            </w:r>
            <w:r>
              <w:rPr>
                <w:color w:val="auto"/>
                <w:sz w:val="24"/>
                <w:highlight w:val="none"/>
              </w:rPr>
              <w:t>处理措施可行，不会对周边环境产生明显影响。</w:t>
            </w:r>
          </w:p>
          <w:p>
            <w:pPr>
              <w:spacing w:line="360" w:lineRule="auto"/>
              <w:ind w:firstLine="480" w:firstLineChars="200"/>
              <w:jc w:val="left"/>
              <w:rPr>
                <w:b/>
                <w:bCs/>
                <w:color w:val="auto"/>
                <w:sz w:val="24"/>
                <w:szCs w:val="22"/>
                <w:highlight w:val="none"/>
              </w:rPr>
            </w:pPr>
            <w:r>
              <w:rPr>
                <w:color w:val="auto"/>
                <w:sz w:val="24"/>
                <w:highlight w:val="none"/>
              </w:rPr>
              <w:t>综上所述，本项目产生的固体废物均得到合理处置，不会对周围环境产生污染影响。</w:t>
            </w:r>
            <w:r>
              <w:rPr>
                <w:rFonts w:hint="eastAsia"/>
                <w:b/>
                <w:bCs/>
                <w:color w:val="auto"/>
                <w:sz w:val="24"/>
                <w:szCs w:val="22"/>
                <w:highlight w:val="none"/>
              </w:rPr>
              <w:t>（</w:t>
            </w:r>
            <w:r>
              <w:rPr>
                <w:rFonts w:hint="eastAsia"/>
                <w:b/>
                <w:bCs/>
                <w:color w:val="auto"/>
                <w:sz w:val="24"/>
                <w:szCs w:val="22"/>
                <w:highlight w:val="none"/>
                <w:lang w:val="en-US" w:eastAsia="zh-CN"/>
              </w:rPr>
              <w:t>5</w:t>
            </w:r>
            <w:r>
              <w:rPr>
                <w:rFonts w:hint="eastAsia"/>
                <w:b/>
                <w:bCs/>
                <w:color w:val="auto"/>
                <w:sz w:val="24"/>
                <w:szCs w:val="22"/>
                <w:highlight w:val="none"/>
              </w:rPr>
              <w:t>）</w:t>
            </w:r>
            <w:r>
              <w:rPr>
                <w:b/>
                <w:bCs/>
                <w:color w:val="auto"/>
                <w:sz w:val="24"/>
                <w:szCs w:val="22"/>
                <w:highlight w:val="none"/>
              </w:rPr>
              <w:t>土壤环境影响分析</w:t>
            </w:r>
          </w:p>
          <w:p>
            <w:pPr>
              <w:tabs>
                <w:tab w:val="left" w:pos="0"/>
              </w:tabs>
              <w:spacing w:line="360" w:lineRule="auto"/>
              <w:ind w:firstLine="480" w:firstLineChars="200"/>
              <w:jc w:val="left"/>
              <w:rPr>
                <w:color w:val="auto"/>
                <w:sz w:val="24"/>
                <w:szCs w:val="22"/>
                <w:highlight w:val="none"/>
              </w:rPr>
            </w:pPr>
            <w:r>
              <w:rPr>
                <w:rFonts w:hint="eastAsia" w:ascii="宋体" w:hAnsi="宋体" w:cs="宋体"/>
                <w:color w:val="auto"/>
                <w:sz w:val="24"/>
                <w:szCs w:val="22"/>
                <w:highlight w:val="none"/>
                <w:lang w:val="en-US" w:eastAsia="zh-CN"/>
              </w:rPr>
              <w:t>1、</w:t>
            </w:r>
            <w:r>
              <w:rPr>
                <w:color w:val="auto"/>
                <w:sz w:val="24"/>
                <w:szCs w:val="22"/>
                <w:highlight w:val="none"/>
              </w:rPr>
              <w:t>等级判定</w:t>
            </w:r>
          </w:p>
          <w:p>
            <w:pPr>
              <w:tabs>
                <w:tab w:val="left" w:pos="0"/>
              </w:tabs>
              <w:spacing w:line="360" w:lineRule="auto"/>
              <w:ind w:firstLine="480" w:firstLineChars="200"/>
              <w:jc w:val="left"/>
              <w:rPr>
                <w:color w:val="auto"/>
                <w:sz w:val="24"/>
                <w:szCs w:val="22"/>
                <w:highlight w:val="none"/>
              </w:rPr>
            </w:pPr>
            <w:r>
              <w:rPr>
                <w:color w:val="auto"/>
                <w:sz w:val="24"/>
                <w:szCs w:val="22"/>
                <w:highlight w:val="none"/>
              </w:rPr>
              <w:t>1）建设项目土壤环境影响评价项目类别</w:t>
            </w:r>
          </w:p>
          <w:p>
            <w:pPr>
              <w:tabs>
                <w:tab w:val="left" w:pos="0"/>
              </w:tabs>
              <w:spacing w:line="360" w:lineRule="auto"/>
              <w:ind w:firstLine="480" w:firstLineChars="200"/>
              <w:jc w:val="left"/>
              <w:rPr>
                <w:color w:val="auto"/>
                <w:sz w:val="24"/>
                <w:szCs w:val="22"/>
                <w:highlight w:val="none"/>
              </w:rPr>
            </w:pPr>
            <w:r>
              <w:rPr>
                <w:color w:val="auto"/>
                <w:sz w:val="24"/>
                <w:szCs w:val="22"/>
                <w:highlight w:val="none"/>
              </w:rPr>
              <w:t>根据《环境影响评价技术导则  土壤环境（试行）》（HJ964-2018）附录A，按照建设项目所属行业对土壤环境影响的程度，将建设项目分为四类，经查附录A本项目属于</w:t>
            </w:r>
            <w:r>
              <w:rPr>
                <w:rFonts w:hint="default"/>
                <w:color w:val="auto"/>
                <w:sz w:val="24"/>
                <w:szCs w:val="24"/>
                <w:highlight w:val="none"/>
              </w:rPr>
              <w:t>“制造业—</w:t>
            </w:r>
            <w:r>
              <w:rPr>
                <w:rFonts w:hint="eastAsia"/>
                <w:color w:val="auto"/>
                <w:sz w:val="24"/>
                <w:szCs w:val="24"/>
                <w:highlight w:val="none"/>
                <w:lang w:eastAsia="zh-CN"/>
              </w:rPr>
              <w:t>金属制品</w:t>
            </w:r>
            <w:r>
              <w:rPr>
                <w:rFonts w:hint="default"/>
                <w:color w:val="auto"/>
                <w:sz w:val="24"/>
                <w:szCs w:val="24"/>
                <w:highlight w:val="none"/>
              </w:rPr>
              <w:t>—</w:t>
            </w:r>
            <w:r>
              <w:rPr>
                <w:rFonts w:hint="default"/>
                <w:color w:val="auto"/>
                <w:sz w:val="24"/>
                <w:szCs w:val="24"/>
                <w:highlight w:val="none"/>
                <w:lang w:eastAsia="zh-CN"/>
              </w:rPr>
              <w:t>其他</w:t>
            </w:r>
            <w:r>
              <w:rPr>
                <w:rFonts w:hint="default"/>
                <w:color w:val="auto"/>
                <w:sz w:val="24"/>
                <w:szCs w:val="24"/>
                <w:highlight w:val="none"/>
              </w:rPr>
              <w:t>”项目，为</w:t>
            </w:r>
            <w:r>
              <w:rPr>
                <w:rFonts w:hint="default"/>
                <w:color w:val="auto"/>
                <w:sz w:val="24"/>
                <w:szCs w:val="24"/>
                <w:highlight w:val="none"/>
                <w:lang w:eastAsia="zh-CN"/>
              </w:rPr>
              <w:t>Ⅲ</w:t>
            </w:r>
            <w:r>
              <w:rPr>
                <w:rFonts w:hint="default"/>
                <w:color w:val="auto"/>
                <w:sz w:val="24"/>
                <w:szCs w:val="24"/>
                <w:highlight w:val="none"/>
              </w:rPr>
              <w:t>类项目。</w:t>
            </w:r>
          </w:p>
          <w:p>
            <w:pPr>
              <w:tabs>
                <w:tab w:val="left" w:pos="0"/>
              </w:tabs>
              <w:spacing w:line="360" w:lineRule="auto"/>
              <w:ind w:firstLine="480" w:firstLineChars="200"/>
              <w:jc w:val="left"/>
              <w:rPr>
                <w:color w:val="auto"/>
                <w:sz w:val="24"/>
                <w:szCs w:val="22"/>
                <w:highlight w:val="none"/>
              </w:rPr>
            </w:pPr>
            <w:r>
              <w:rPr>
                <w:color w:val="auto"/>
                <w:sz w:val="24"/>
                <w:szCs w:val="22"/>
                <w:highlight w:val="none"/>
              </w:rPr>
              <w:t>2）建设项目占地规模</w:t>
            </w:r>
            <w:r>
              <w:rPr>
                <w:rFonts w:hint="eastAsia"/>
                <w:color w:val="auto"/>
                <w:sz w:val="24"/>
                <w:szCs w:val="22"/>
                <w:highlight w:val="none"/>
                <w:lang w:eastAsia="zh-CN"/>
              </w:rPr>
              <w:t>：</w:t>
            </w:r>
            <w:r>
              <w:rPr>
                <w:color w:val="auto"/>
                <w:sz w:val="24"/>
                <w:szCs w:val="22"/>
                <w:highlight w:val="none"/>
              </w:rPr>
              <w:t>根据《环境影响评价技术导则  土壤环境（试行）》（HJ964-2018），将建设项目占地规模分为大型（≥50hm</w:t>
            </w:r>
            <w:r>
              <w:rPr>
                <w:color w:val="auto"/>
                <w:sz w:val="24"/>
                <w:szCs w:val="22"/>
                <w:highlight w:val="none"/>
                <w:vertAlign w:val="superscript"/>
              </w:rPr>
              <w:t>2</w:t>
            </w:r>
            <w:r>
              <w:rPr>
                <w:color w:val="auto"/>
                <w:sz w:val="24"/>
                <w:szCs w:val="22"/>
                <w:highlight w:val="none"/>
              </w:rPr>
              <w:t>）、中型（5~50hm</w:t>
            </w:r>
            <w:r>
              <w:rPr>
                <w:color w:val="auto"/>
                <w:sz w:val="24"/>
                <w:szCs w:val="22"/>
                <w:highlight w:val="none"/>
                <w:vertAlign w:val="superscript"/>
              </w:rPr>
              <w:t>2</w:t>
            </w:r>
            <w:r>
              <w:rPr>
                <w:color w:val="auto"/>
                <w:sz w:val="24"/>
                <w:szCs w:val="22"/>
                <w:highlight w:val="none"/>
              </w:rPr>
              <w:t>）、小型（≤5hm</w:t>
            </w:r>
            <w:r>
              <w:rPr>
                <w:color w:val="auto"/>
                <w:sz w:val="24"/>
                <w:szCs w:val="22"/>
                <w:highlight w:val="none"/>
                <w:vertAlign w:val="superscript"/>
              </w:rPr>
              <w:t>2</w:t>
            </w:r>
            <w:r>
              <w:rPr>
                <w:color w:val="auto"/>
                <w:sz w:val="24"/>
                <w:szCs w:val="22"/>
                <w:highlight w:val="none"/>
              </w:rPr>
              <w:t>）；本项目占地面积为</w:t>
            </w:r>
            <w:r>
              <w:rPr>
                <w:rFonts w:hint="eastAsia"/>
                <w:color w:val="auto"/>
                <w:kern w:val="24"/>
                <w:sz w:val="24"/>
                <w:highlight w:val="none"/>
                <w:lang w:val="en-US" w:eastAsia="zh-CN"/>
              </w:rPr>
              <w:t>13161.3</w:t>
            </w:r>
            <w:r>
              <w:rPr>
                <w:color w:val="auto"/>
                <w:sz w:val="24"/>
                <w:szCs w:val="22"/>
                <w:highlight w:val="none"/>
              </w:rPr>
              <w:t>m</w:t>
            </w:r>
            <w:r>
              <w:rPr>
                <w:color w:val="auto"/>
                <w:sz w:val="24"/>
                <w:szCs w:val="22"/>
                <w:highlight w:val="none"/>
                <w:vertAlign w:val="superscript"/>
              </w:rPr>
              <w:t>2</w:t>
            </w:r>
            <w:r>
              <w:rPr>
                <w:color w:val="auto"/>
                <w:sz w:val="24"/>
                <w:szCs w:val="22"/>
                <w:highlight w:val="none"/>
              </w:rPr>
              <w:t>，占地规模属于“</w:t>
            </w:r>
            <w:r>
              <w:rPr>
                <w:rFonts w:hint="eastAsia"/>
                <w:color w:val="auto"/>
                <w:sz w:val="24"/>
                <w:szCs w:val="22"/>
                <w:highlight w:val="none"/>
                <w:lang w:eastAsia="zh-CN"/>
              </w:rPr>
              <w:t>小</w:t>
            </w:r>
            <w:r>
              <w:rPr>
                <w:color w:val="auto"/>
                <w:sz w:val="24"/>
                <w:szCs w:val="22"/>
                <w:highlight w:val="none"/>
              </w:rPr>
              <w:t>型”。</w:t>
            </w:r>
          </w:p>
          <w:p>
            <w:pPr>
              <w:tabs>
                <w:tab w:val="left" w:pos="0"/>
              </w:tabs>
              <w:spacing w:line="360" w:lineRule="auto"/>
              <w:ind w:firstLine="480" w:firstLineChars="200"/>
              <w:jc w:val="left"/>
              <w:rPr>
                <w:color w:val="auto"/>
                <w:sz w:val="24"/>
                <w:szCs w:val="22"/>
                <w:highlight w:val="none"/>
              </w:rPr>
            </w:pPr>
            <w:r>
              <w:rPr>
                <w:color w:val="auto"/>
                <w:sz w:val="24"/>
                <w:szCs w:val="22"/>
                <w:highlight w:val="none"/>
              </w:rPr>
              <w:t>3）建设项目所在地周边的土壤环境敏感程度</w:t>
            </w:r>
          </w:p>
          <w:p>
            <w:pPr>
              <w:tabs>
                <w:tab w:val="left" w:pos="0"/>
              </w:tabs>
              <w:spacing w:line="360" w:lineRule="auto"/>
              <w:ind w:firstLine="480" w:firstLineChars="200"/>
              <w:jc w:val="left"/>
              <w:rPr>
                <w:color w:val="auto"/>
                <w:sz w:val="24"/>
                <w:szCs w:val="22"/>
                <w:highlight w:val="none"/>
              </w:rPr>
            </w:pPr>
            <w:r>
              <w:rPr>
                <w:color w:val="auto"/>
                <w:sz w:val="24"/>
                <w:szCs w:val="22"/>
                <w:highlight w:val="none"/>
              </w:rPr>
              <w:t>根据《环境影响评价技术导则  土壤环境（试行）》（HJ964-2018），建设项目所在地周边的土壤环境敏感程度分为敏感、较敏感、不敏感，判别依据见表</w:t>
            </w:r>
            <w:r>
              <w:rPr>
                <w:rFonts w:hint="eastAsia"/>
                <w:color w:val="auto"/>
                <w:sz w:val="24"/>
                <w:szCs w:val="22"/>
                <w:highlight w:val="none"/>
              </w:rPr>
              <w:t>3</w:t>
            </w:r>
            <w:r>
              <w:rPr>
                <w:rFonts w:hint="eastAsia"/>
                <w:color w:val="auto"/>
                <w:sz w:val="24"/>
                <w:szCs w:val="22"/>
                <w:highlight w:val="none"/>
                <w:lang w:val="en-US" w:eastAsia="zh-CN"/>
              </w:rPr>
              <w:t>6</w:t>
            </w:r>
            <w:r>
              <w:rPr>
                <w:color w:val="auto"/>
                <w:sz w:val="24"/>
                <w:szCs w:val="22"/>
                <w:highlight w:val="none"/>
              </w:rPr>
              <w:t>。</w:t>
            </w:r>
          </w:p>
          <w:p>
            <w:pPr>
              <w:adjustRightInd w:val="0"/>
              <w:snapToGrid w:val="0"/>
              <w:spacing w:line="480" w:lineRule="exact"/>
              <w:ind w:firstLine="482" w:firstLineChars="200"/>
              <w:jc w:val="center"/>
              <w:rPr>
                <w:b/>
                <w:bCs/>
                <w:color w:val="auto"/>
                <w:sz w:val="24"/>
                <w:highlight w:val="none"/>
              </w:rPr>
            </w:pPr>
            <w:r>
              <w:rPr>
                <w:b/>
                <w:bCs/>
                <w:color w:val="auto"/>
                <w:sz w:val="24"/>
                <w:highlight w:val="none"/>
              </w:rPr>
              <w:t>表</w:t>
            </w:r>
            <w:r>
              <w:rPr>
                <w:rFonts w:hint="eastAsia"/>
                <w:b/>
                <w:bCs/>
                <w:color w:val="auto"/>
                <w:sz w:val="24"/>
                <w:highlight w:val="none"/>
              </w:rPr>
              <w:t>3</w:t>
            </w:r>
            <w:r>
              <w:rPr>
                <w:rFonts w:hint="eastAsia"/>
                <w:b/>
                <w:bCs/>
                <w:color w:val="auto"/>
                <w:sz w:val="24"/>
                <w:highlight w:val="none"/>
                <w:lang w:val="en-US" w:eastAsia="zh-CN"/>
              </w:rPr>
              <w:t>6</w:t>
            </w:r>
            <w:r>
              <w:rPr>
                <w:b/>
                <w:bCs/>
                <w:color w:val="auto"/>
                <w:sz w:val="24"/>
                <w:highlight w:val="none"/>
              </w:rPr>
              <w:t xml:space="preserve">   污染影响型敏感程度分级表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596"/>
              <w:gridCol w:w="6559"/>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2483" w:type="dxa"/>
                  <w:vAlign w:val="center"/>
                </w:tcPr>
                <w:p>
                  <w:pPr>
                    <w:tabs>
                      <w:tab w:val="left" w:pos="2604"/>
                    </w:tabs>
                    <w:spacing w:line="0" w:lineRule="atLeast"/>
                    <w:jc w:val="center"/>
                    <w:rPr>
                      <w:color w:val="auto"/>
                      <w:szCs w:val="21"/>
                      <w:highlight w:val="none"/>
                    </w:rPr>
                  </w:pPr>
                  <w:r>
                    <w:rPr>
                      <w:color w:val="auto"/>
                      <w:szCs w:val="21"/>
                      <w:highlight w:val="none"/>
                    </w:rPr>
                    <w:t>敏感程度</w:t>
                  </w:r>
                </w:p>
              </w:tc>
              <w:tc>
                <w:tcPr>
                  <w:tcW w:w="6274" w:type="dxa"/>
                  <w:vAlign w:val="center"/>
                </w:tcPr>
                <w:p>
                  <w:pPr>
                    <w:tabs>
                      <w:tab w:val="left" w:pos="2604"/>
                    </w:tabs>
                    <w:spacing w:line="0" w:lineRule="atLeast"/>
                    <w:jc w:val="center"/>
                    <w:rPr>
                      <w:color w:val="auto"/>
                      <w:szCs w:val="21"/>
                      <w:highlight w:val="none"/>
                    </w:rPr>
                  </w:pPr>
                  <w:r>
                    <w:rPr>
                      <w:color w:val="auto"/>
                      <w:szCs w:val="21"/>
                      <w:highlight w:val="none"/>
                    </w:rPr>
                    <w:t>判别依据</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2483" w:type="dxa"/>
                  <w:vAlign w:val="center"/>
                </w:tcPr>
                <w:p>
                  <w:pPr>
                    <w:tabs>
                      <w:tab w:val="left" w:pos="2604"/>
                    </w:tabs>
                    <w:spacing w:line="0" w:lineRule="atLeast"/>
                    <w:jc w:val="center"/>
                    <w:rPr>
                      <w:color w:val="auto"/>
                      <w:szCs w:val="21"/>
                      <w:highlight w:val="none"/>
                    </w:rPr>
                  </w:pPr>
                  <w:r>
                    <w:rPr>
                      <w:color w:val="auto"/>
                      <w:szCs w:val="21"/>
                      <w:highlight w:val="none"/>
                    </w:rPr>
                    <w:t>敏感</w:t>
                  </w:r>
                </w:p>
              </w:tc>
              <w:tc>
                <w:tcPr>
                  <w:tcW w:w="6274" w:type="dxa"/>
                  <w:vAlign w:val="center"/>
                </w:tcPr>
                <w:p>
                  <w:pPr>
                    <w:tabs>
                      <w:tab w:val="left" w:pos="2604"/>
                    </w:tabs>
                    <w:spacing w:line="0" w:lineRule="atLeast"/>
                    <w:jc w:val="center"/>
                    <w:rPr>
                      <w:color w:val="auto"/>
                      <w:szCs w:val="21"/>
                      <w:highlight w:val="none"/>
                    </w:rPr>
                  </w:pPr>
                  <w:r>
                    <w:rPr>
                      <w:color w:val="auto"/>
                      <w:szCs w:val="21"/>
                      <w:highlight w:val="none"/>
                    </w:rPr>
                    <w:t>建设项目周边存在耕地、园地、牧草地、饮用水水源地或居民区、学校、医院、疗养院、养老院等土壤环境敏感目标的</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2483" w:type="dxa"/>
                  <w:vAlign w:val="center"/>
                </w:tcPr>
                <w:p>
                  <w:pPr>
                    <w:tabs>
                      <w:tab w:val="left" w:pos="2604"/>
                    </w:tabs>
                    <w:spacing w:line="0" w:lineRule="atLeast"/>
                    <w:jc w:val="center"/>
                    <w:rPr>
                      <w:color w:val="auto"/>
                      <w:szCs w:val="21"/>
                      <w:highlight w:val="none"/>
                    </w:rPr>
                  </w:pPr>
                  <w:r>
                    <w:rPr>
                      <w:color w:val="auto"/>
                      <w:szCs w:val="21"/>
                      <w:highlight w:val="none"/>
                    </w:rPr>
                    <w:t>较敏感</w:t>
                  </w:r>
                </w:p>
              </w:tc>
              <w:tc>
                <w:tcPr>
                  <w:tcW w:w="6274" w:type="dxa"/>
                  <w:vAlign w:val="center"/>
                </w:tcPr>
                <w:p>
                  <w:pPr>
                    <w:tabs>
                      <w:tab w:val="left" w:pos="2604"/>
                    </w:tabs>
                    <w:spacing w:line="0" w:lineRule="atLeast"/>
                    <w:jc w:val="center"/>
                    <w:rPr>
                      <w:color w:val="auto"/>
                      <w:szCs w:val="21"/>
                      <w:highlight w:val="none"/>
                    </w:rPr>
                  </w:pPr>
                  <w:r>
                    <w:rPr>
                      <w:color w:val="auto"/>
                      <w:szCs w:val="21"/>
                      <w:highlight w:val="none"/>
                    </w:rPr>
                    <w:t>建设项目周边存在其他土壤环境敏感目标的</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2483" w:type="dxa"/>
                  <w:vAlign w:val="center"/>
                </w:tcPr>
                <w:p>
                  <w:pPr>
                    <w:tabs>
                      <w:tab w:val="left" w:pos="2604"/>
                    </w:tabs>
                    <w:spacing w:line="0" w:lineRule="atLeast"/>
                    <w:jc w:val="center"/>
                    <w:rPr>
                      <w:color w:val="auto"/>
                      <w:szCs w:val="21"/>
                      <w:highlight w:val="none"/>
                    </w:rPr>
                  </w:pPr>
                  <w:r>
                    <w:rPr>
                      <w:color w:val="auto"/>
                      <w:szCs w:val="21"/>
                      <w:highlight w:val="none"/>
                    </w:rPr>
                    <w:t>不敏感</w:t>
                  </w:r>
                </w:p>
              </w:tc>
              <w:tc>
                <w:tcPr>
                  <w:tcW w:w="6274" w:type="dxa"/>
                  <w:vAlign w:val="center"/>
                </w:tcPr>
                <w:p>
                  <w:pPr>
                    <w:tabs>
                      <w:tab w:val="left" w:pos="2604"/>
                    </w:tabs>
                    <w:spacing w:line="0" w:lineRule="atLeast"/>
                    <w:jc w:val="center"/>
                    <w:rPr>
                      <w:color w:val="auto"/>
                      <w:szCs w:val="21"/>
                      <w:highlight w:val="none"/>
                    </w:rPr>
                  </w:pPr>
                  <w:r>
                    <w:rPr>
                      <w:color w:val="auto"/>
                      <w:szCs w:val="21"/>
                      <w:highlight w:val="none"/>
                    </w:rPr>
                    <w:t>其他情况</w:t>
                  </w:r>
                </w:p>
              </w:tc>
            </w:tr>
          </w:tbl>
          <w:p>
            <w:pPr>
              <w:topLinePunct/>
              <w:spacing w:line="480" w:lineRule="exact"/>
              <w:ind w:firstLine="480" w:firstLineChars="200"/>
              <w:jc w:val="left"/>
              <w:rPr>
                <w:color w:val="auto"/>
                <w:sz w:val="24"/>
                <w:highlight w:val="none"/>
              </w:rPr>
            </w:pPr>
            <w:r>
              <w:rPr>
                <w:rFonts w:hint="default"/>
                <w:color w:val="auto"/>
                <w:sz w:val="24"/>
                <w:szCs w:val="24"/>
                <w:highlight w:val="none"/>
              </w:rPr>
              <w:t>本</w:t>
            </w:r>
            <w:r>
              <w:rPr>
                <w:rFonts w:hint="eastAsia"/>
                <w:color w:val="auto"/>
                <w:sz w:val="24"/>
                <w:szCs w:val="24"/>
                <w:highlight w:val="none"/>
                <w:lang w:eastAsia="zh-CN"/>
              </w:rPr>
              <w:t>此技改项目位于现有厂区内，</w:t>
            </w:r>
            <w:r>
              <w:rPr>
                <w:rFonts w:hint="eastAsia"/>
                <w:color w:val="auto"/>
                <w:sz w:val="24"/>
                <w:szCs w:val="24"/>
                <w:highlight w:val="none"/>
                <w:lang w:val="en-US" w:eastAsia="zh-CN"/>
              </w:rPr>
              <w:t>周边均为规划工业用地，厂区东侧50m范围内现状为种植树木绿化，无</w:t>
            </w:r>
            <w:r>
              <w:rPr>
                <w:color w:val="auto"/>
                <w:sz w:val="24"/>
                <w:szCs w:val="24"/>
                <w:highlight w:val="none"/>
              </w:rPr>
              <w:t>耕地、园地、牧草地、饮用水水源地或居民区、学校、医院、疗养院、养老院等土壤环境敏感目标</w:t>
            </w:r>
            <w:r>
              <w:rPr>
                <w:rFonts w:hint="default"/>
                <w:color w:val="auto"/>
                <w:sz w:val="24"/>
                <w:szCs w:val="24"/>
                <w:highlight w:val="none"/>
              </w:rPr>
              <w:t>。因此</w:t>
            </w:r>
            <w:r>
              <w:rPr>
                <w:rFonts w:hint="eastAsia"/>
                <w:color w:val="auto"/>
                <w:sz w:val="24"/>
                <w:szCs w:val="24"/>
                <w:highlight w:val="none"/>
                <w:lang w:eastAsia="zh-CN"/>
              </w:rPr>
              <w:t>，</w:t>
            </w:r>
            <w:r>
              <w:rPr>
                <w:rFonts w:hint="default"/>
                <w:color w:val="auto"/>
                <w:sz w:val="24"/>
                <w:szCs w:val="24"/>
                <w:highlight w:val="none"/>
              </w:rPr>
              <w:t>项目所在地周边的土壤环境敏感程度属于“</w:t>
            </w:r>
            <w:r>
              <w:rPr>
                <w:rFonts w:hint="eastAsia"/>
                <w:color w:val="auto"/>
                <w:sz w:val="24"/>
                <w:szCs w:val="24"/>
                <w:highlight w:val="none"/>
                <w:lang w:eastAsia="zh-CN"/>
              </w:rPr>
              <w:t>不</w:t>
            </w:r>
            <w:r>
              <w:rPr>
                <w:rFonts w:hint="default"/>
                <w:color w:val="auto"/>
                <w:sz w:val="24"/>
                <w:szCs w:val="24"/>
                <w:highlight w:val="none"/>
              </w:rPr>
              <w:t>敏感”。</w:t>
            </w:r>
          </w:p>
          <w:p>
            <w:pPr>
              <w:tabs>
                <w:tab w:val="left" w:pos="0"/>
              </w:tabs>
              <w:spacing w:line="360" w:lineRule="auto"/>
              <w:ind w:firstLine="480" w:firstLineChars="200"/>
              <w:jc w:val="left"/>
              <w:rPr>
                <w:color w:val="auto"/>
                <w:sz w:val="24"/>
                <w:highlight w:val="none"/>
              </w:rPr>
            </w:pPr>
            <w:r>
              <w:rPr>
                <w:color w:val="auto"/>
                <w:sz w:val="24"/>
                <w:szCs w:val="22"/>
                <w:highlight w:val="none"/>
              </w:rPr>
              <w:t>4）土壤评价工作等级划分</w:t>
            </w:r>
            <w:r>
              <w:rPr>
                <w:rFonts w:hint="eastAsia"/>
                <w:color w:val="auto"/>
                <w:sz w:val="24"/>
                <w:szCs w:val="22"/>
                <w:highlight w:val="none"/>
                <w:lang w:eastAsia="zh-CN"/>
              </w:rPr>
              <w:t>：</w:t>
            </w:r>
            <w:r>
              <w:rPr>
                <w:color w:val="auto"/>
                <w:sz w:val="24"/>
                <w:highlight w:val="none"/>
              </w:rPr>
              <w:t>土壤环境影响评价工作等级的确定见表</w:t>
            </w:r>
            <w:r>
              <w:rPr>
                <w:rFonts w:hint="eastAsia"/>
                <w:color w:val="auto"/>
                <w:sz w:val="24"/>
                <w:highlight w:val="none"/>
              </w:rPr>
              <w:t>3</w:t>
            </w:r>
            <w:r>
              <w:rPr>
                <w:rFonts w:hint="eastAsia"/>
                <w:color w:val="auto"/>
                <w:sz w:val="24"/>
                <w:highlight w:val="none"/>
                <w:lang w:val="en-US" w:eastAsia="zh-CN"/>
              </w:rPr>
              <w:t>7</w:t>
            </w:r>
            <w:r>
              <w:rPr>
                <w:color w:val="auto"/>
                <w:sz w:val="24"/>
                <w:highlight w:val="none"/>
              </w:rPr>
              <w:t>。</w:t>
            </w:r>
          </w:p>
          <w:p>
            <w:pPr>
              <w:adjustRightInd w:val="0"/>
              <w:snapToGrid w:val="0"/>
              <w:spacing w:line="480" w:lineRule="exact"/>
              <w:ind w:firstLine="482" w:firstLineChars="200"/>
              <w:jc w:val="center"/>
              <w:rPr>
                <w:b/>
                <w:bCs/>
                <w:color w:val="auto"/>
                <w:sz w:val="24"/>
                <w:highlight w:val="none"/>
              </w:rPr>
            </w:pPr>
            <w:r>
              <w:rPr>
                <w:b/>
                <w:bCs/>
                <w:color w:val="auto"/>
                <w:sz w:val="24"/>
                <w:highlight w:val="none"/>
              </w:rPr>
              <w:t>表</w:t>
            </w:r>
            <w:r>
              <w:rPr>
                <w:rFonts w:hint="eastAsia"/>
                <w:b/>
                <w:bCs/>
                <w:color w:val="auto"/>
                <w:sz w:val="24"/>
                <w:highlight w:val="none"/>
              </w:rPr>
              <w:t>3</w:t>
            </w:r>
            <w:r>
              <w:rPr>
                <w:rFonts w:hint="eastAsia"/>
                <w:b/>
                <w:bCs/>
                <w:color w:val="auto"/>
                <w:sz w:val="24"/>
                <w:highlight w:val="none"/>
                <w:lang w:val="en-US" w:eastAsia="zh-CN"/>
              </w:rPr>
              <w:t>7</w:t>
            </w:r>
            <w:r>
              <w:rPr>
                <w:rFonts w:hint="eastAsia"/>
                <w:b/>
                <w:bCs/>
                <w:color w:val="auto"/>
                <w:sz w:val="24"/>
                <w:highlight w:val="none"/>
              </w:rPr>
              <w:t xml:space="preserve"> </w:t>
            </w:r>
            <w:r>
              <w:rPr>
                <w:b/>
                <w:bCs/>
                <w:color w:val="auto"/>
                <w:sz w:val="24"/>
                <w:highlight w:val="none"/>
              </w:rPr>
              <w:t xml:space="preserve">  污染影响型评价工作等级划分表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28"/>
              <w:gridCol w:w="787"/>
              <w:gridCol w:w="771"/>
              <w:gridCol w:w="776"/>
              <w:gridCol w:w="764"/>
              <w:gridCol w:w="776"/>
              <w:gridCol w:w="778"/>
              <w:gridCol w:w="754"/>
              <w:gridCol w:w="862"/>
              <w:gridCol w:w="7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62" w:type="pct"/>
                  <w:vMerge w:val="restart"/>
                  <w:tcBorders>
                    <w:tl2br w:val="nil"/>
                    <w:tr2bl w:val="nil"/>
                  </w:tcBorders>
                  <w:noWrap w:val="0"/>
                  <w:vAlign w:val="center"/>
                  <mc:AlternateContent>
                    <mc:Choice Requires="wpsCustomData">
                      <wpsCustomData:diagonals>
                        <wpsCustomData:diagonal from="10000" to="35000">
                          <wpsCustomData:border w:val="single" w:color="auto" w:sz="12" w:space="0"/>
                        </wpsCustomData:diagonal>
                        <wpsCustomData:diagonal from="10000" to="25000">
                          <wpsCustomData:border w:val="single" w:color="auto" w:sz="12" w:space="0"/>
                        </wpsCustomData:diagonal>
                      </wpsCustomData:diagonals>
                    </mc:Choice>
                  </mc:AlternateContent>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mc:AlternateContent>
                      <mc:Choice Requires="wpsCustomData">
                        <wpsCustomData:diagonalParaType/>
                      </mc:Choice>
                    </mc:AlternateContent>
                    <w:rPr>
                      <w:rFonts w:hint="eastAsia" w:ascii="Times New Roman" w:hAnsi="Times New Roman" w:eastAsia="宋体" w:cs="Times New Roman"/>
                      <w:bCs/>
                      <w:caps w:val="0"/>
                      <w:smallCaps w:val="0"/>
                      <w:color w:val="auto"/>
                      <w:spacing w:val="0"/>
                      <w:w w:val="100"/>
                      <w:sz w:val="21"/>
                      <w:szCs w:val="21"/>
                      <w:highlight w:val="none"/>
                      <w:u w:val="none"/>
                      <w:lang w:eastAsia="zh-CN"/>
                    </w:rPr>
                  </w:pPr>
                  <w:r>
                    <w:rPr>
                      <w:rFonts w:hint="eastAsia" w:ascii="Times New Roman" w:hAnsi="Times New Roman" w:eastAsia="宋体" w:cs="Times New Roman"/>
                      <w:bCs/>
                      <w:caps w:val="0"/>
                      <w:smallCaps w:val="0"/>
                      <w:color w:val="auto"/>
                      <w:spacing w:val="0"/>
                      <w:w w:val="100"/>
                      <w:sz w:val="21"/>
                      <w:szCs w:val="21"/>
                      <w:highlight w:val="none"/>
                      <w:u w:val="none"/>
                      <w:lang w:eastAsia="zh-CN"/>
                    </w:rPr>
                    <w:t>敏感程度</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Cs/>
                      <w:caps w:val="0"/>
                      <w:smallCaps w:val="0"/>
                      <w:color w:val="auto"/>
                      <w:spacing w:val="0"/>
                      <w:w w:val="100"/>
                      <w:sz w:val="21"/>
                      <w:szCs w:val="21"/>
                      <w:highlight w:val="none"/>
                      <w:u w:val="none"/>
                      <w:lang w:eastAsia="zh-CN"/>
                    </w:rPr>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Cs/>
                      <w:caps w:val="0"/>
                      <w:smallCaps w:val="0"/>
                      <w:color w:val="auto"/>
                      <w:spacing w:val="0"/>
                      <w:w w:val="100"/>
                      <w:sz w:val="21"/>
                      <w:szCs w:val="21"/>
                      <w:highlight w:val="none"/>
                      <w:u w:val="none"/>
                      <w:lang w:eastAsia="zh-CN"/>
                    </w:rPr>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mc:AlternateContent>
                      <mc:Choice Requires="wpsCustomData">
                        <wpsCustomData:diagonalParaType/>
                      </mc:Choice>
                    </mc:AlternateContent>
                    <w:rPr>
                      <w:rFonts w:hint="eastAsia" w:ascii="Times New Roman" w:hAnsi="Times New Roman" w:eastAsia="宋体" w:cs="Times New Roman"/>
                      <w:bCs/>
                      <w:caps w:val="0"/>
                      <w:smallCaps w:val="0"/>
                      <w:color w:val="auto"/>
                      <w:spacing w:val="0"/>
                      <w:w w:val="100"/>
                      <w:sz w:val="21"/>
                      <w:szCs w:val="21"/>
                      <w:highlight w:val="none"/>
                      <w:u w:val="none"/>
                      <w:lang w:eastAsia="zh-CN"/>
                    </w:rPr>
                  </w:pPr>
                  <w:r>
                    <w:rPr>
                      <w:rFonts w:hint="eastAsia" w:ascii="Times New Roman" w:hAnsi="Times New Roman" w:eastAsia="宋体" w:cs="Times New Roman"/>
                      <w:bCs/>
                      <w:caps w:val="0"/>
                      <w:smallCaps w:val="0"/>
                      <w:color w:val="auto"/>
                      <w:spacing w:val="0"/>
                      <w:w w:val="100"/>
                      <w:sz w:val="21"/>
                      <w:szCs w:val="21"/>
                      <w:highlight w:val="none"/>
                      <w:u w:val="none"/>
                      <w:lang w:eastAsia="zh-CN"/>
                    </w:rPr>
                    <w:t>评价等级</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imes New Roman" w:hAnsi="Times New Roman" w:eastAsia="宋体" w:cs="Times New Roman"/>
                      <w:bCs/>
                      <w:caps w:val="0"/>
                      <w:smallCaps w:val="0"/>
                      <w:color w:val="auto"/>
                      <w:spacing w:val="0"/>
                      <w:w w:val="100"/>
                      <w:sz w:val="21"/>
                      <w:szCs w:val="21"/>
                      <w:highlight w:val="none"/>
                      <w:u w:val="none"/>
                      <w:lang w:eastAsia="zh-CN"/>
                    </w:rPr>
                  </w:pPr>
                  <w:r>
                    <w:rPr>
                      <w:rFonts w:hint="eastAsia" w:ascii="Times New Roman" w:hAnsi="Times New Roman" w:eastAsia="宋体" w:cs="Times New Roman"/>
                      <w:bCs/>
                      <w:caps w:val="0"/>
                      <w:smallCaps w:val="0"/>
                      <w:color w:val="auto"/>
                      <w:spacing w:val="0"/>
                      <w:w w:val="100"/>
                      <w:sz w:val="21"/>
                      <w:szCs w:val="21"/>
                      <w:highlight w:val="none"/>
                      <w:u w:val="none"/>
                      <w:lang w:eastAsia="zh-CN"/>
                    </w:rPr>
                    <w:t>占地规模</w:t>
                  </w:r>
                </w:p>
              </w:tc>
              <w:tc>
                <w:tcPr>
                  <w:tcW w:w="1275"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Ⅰ</w:t>
                  </w:r>
                </w:p>
              </w:tc>
              <w:tc>
                <w:tcPr>
                  <w:tcW w:w="1266"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Ⅱ</w:t>
                  </w:r>
                </w:p>
              </w:tc>
              <w:tc>
                <w:tcPr>
                  <w:tcW w:w="1295"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Ⅲ</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6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p>
              </w:tc>
              <w:tc>
                <w:tcPr>
                  <w:tcW w:w="43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大</w:t>
                  </w:r>
                </w:p>
              </w:tc>
              <w:tc>
                <w:tcPr>
                  <w:tcW w:w="42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中</w:t>
                  </w:r>
                </w:p>
              </w:tc>
              <w:tc>
                <w:tcPr>
                  <w:tcW w:w="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b w:val="0"/>
                      <w:bCs/>
                      <w:caps w:val="0"/>
                      <w:smallCaps w:val="0"/>
                      <w:color w:val="auto"/>
                      <w:spacing w:val="0"/>
                      <w:w w:val="100"/>
                      <w:sz w:val="21"/>
                      <w:szCs w:val="21"/>
                      <w:highlight w:val="none"/>
                      <w:u w:val="none"/>
                    </w:rPr>
                  </w:pPr>
                  <w:r>
                    <w:rPr>
                      <w:rFonts w:hint="default" w:ascii="Times New Roman" w:hAnsi="Times New Roman" w:eastAsia="宋体" w:cs="Times New Roman"/>
                      <w:b w:val="0"/>
                      <w:bCs/>
                      <w:caps w:val="0"/>
                      <w:smallCaps w:val="0"/>
                      <w:color w:val="auto"/>
                      <w:spacing w:val="0"/>
                      <w:w w:val="100"/>
                      <w:sz w:val="21"/>
                      <w:szCs w:val="21"/>
                      <w:highlight w:val="none"/>
                      <w:u w:val="none"/>
                    </w:rPr>
                    <w:t>小</w:t>
                  </w:r>
                </w:p>
              </w:tc>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大</w:t>
                  </w:r>
                </w:p>
              </w:tc>
              <w:tc>
                <w:tcPr>
                  <w:tcW w:w="4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中</w:t>
                  </w:r>
                </w:p>
              </w:tc>
              <w:tc>
                <w:tcPr>
                  <w:tcW w:w="4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小</w:t>
                  </w:r>
                </w:p>
              </w:tc>
              <w:tc>
                <w:tcPr>
                  <w:tcW w:w="41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大</w:t>
                  </w:r>
                </w:p>
              </w:tc>
              <w:tc>
                <w:tcPr>
                  <w:tcW w:w="4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中</w:t>
                  </w:r>
                </w:p>
              </w:tc>
              <w:tc>
                <w:tcPr>
                  <w:tcW w:w="41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
                      <w:bCs w:val="0"/>
                      <w:caps w:val="0"/>
                      <w:smallCaps w:val="0"/>
                      <w:color w:val="auto"/>
                      <w:spacing w:val="0"/>
                      <w:w w:val="100"/>
                      <w:sz w:val="21"/>
                      <w:szCs w:val="21"/>
                      <w:highlight w:val="none"/>
                      <w:u w:val="none"/>
                    </w:rPr>
                    <w:t>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16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 w:val="0"/>
                      <w:bCs/>
                      <w:caps w:val="0"/>
                      <w:smallCaps w:val="0"/>
                      <w:color w:val="auto"/>
                      <w:spacing w:val="0"/>
                      <w:w w:val="100"/>
                      <w:sz w:val="21"/>
                      <w:szCs w:val="21"/>
                      <w:highlight w:val="none"/>
                      <w:u w:val="none"/>
                    </w:rPr>
                    <w:t>敏感</w:t>
                  </w:r>
                </w:p>
              </w:tc>
              <w:tc>
                <w:tcPr>
                  <w:tcW w:w="43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一级</w:t>
                  </w:r>
                </w:p>
              </w:tc>
              <w:tc>
                <w:tcPr>
                  <w:tcW w:w="42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一级</w:t>
                  </w:r>
                </w:p>
              </w:tc>
              <w:tc>
                <w:tcPr>
                  <w:tcW w:w="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 w:val="0"/>
                      <w:bCs/>
                      <w:caps w:val="0"/>
                      <w:smallCaps w:val="0"/>
                      <w:color w:val="auto"/>
                      <w:spacing w:val="0"/>
                      <w:w w:val="100"/>
                      <w:sz w:val="21"/>
                      <w:szCs w:val="21"/>
                      <w:highlight w:val="none"/>
                      <w:u w:val="none"/>
                    </w:rPr>
                  </w:pPr>
                  <w:r>
                    <w:rPr>
                      <w:rFonts w:ascii="Times New Roman" w:hAnsi="Times New Roman" w:eastAsia="宋体" w:cs="Times New Roman"/>
                      <w:b w:val="0"/>
                      <w:bCs/>
                      <w:caps w:val="0"/>
                      <w:smallCaps w:val="0"/>
                      <w:color w:val="auto"/>
                      <w:spacing w:val="0"/>
                      <w:w w:val="100"/>
                      <w:sz w:val="21"/>
                      <w:szCs w:val="21"/>
                      <w:highlight w:val="none"/>
                      <w:u w:val="none"/>
                    </w:rPr>
                    <w:t>一级</w:t>
                  </w:r>
                </w:p>
              </w:tc>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二</w:t>
                  </w:r>
                  <w:r>
                    <w:rPr>
                      <w:rFonts w:ascii="Times New Roman" w:hAnsi="Times New Roman" w:eastAsia="宋体" w:cs="Times New Roman"/>
                      <w:bCs/>
                      <w:caps w:val="0"/>
                      <w:smallCaps w:val="0"/>
                      <w:color w:val="auto"/>
                      <w:spacing w:val="0"/>
                      <w:w w:val="100"/>
                      <w:sz w:val="21"/>
                      <w:szCs w:val="21"/>
                      <w:highlight w:val="none"/>
                      <w:u w:val="none"/>
                    </w:rPr>
                    <w:t>级</w:t>
                  </w:r>
                </w:p>
              </w:tc>
              <w:tc>
                <w:tcPr>
                  <w:tcW w:w="4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二</w:t>
                  </w:r>
                  <w:r>
                    <w:rPr>
                      <w:rFonts w:ascii="Times New Roman" w:hAnsi="Times New Roman" w:eastAsia="宋体" w:cs="Times New Roman"/>
                      <w:bCs/>
                      <w:caps w:val="0"/>
                      <w:smallCaps w:val="0"/>
                      <w:color w:val="auto"/>
                      <w:spacing w:val="0"/>
                      <w:w w:val="100"/>
                      <w:sz w:val="21"/>
                      <w:szCs w:val="21"/>
                      <w:highlight w:val="none"/>
                      <w:u w:val="none"/>
                    </w:rPr>
                    <w:t>级</w:t>
                  </w:r>
                </w:p>
              </w:tc>
              <w:tc>
                <w:tcPr>
                  <w:tcW w:w="4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二</w:t>
                  </w:r>
                  <w:r>
                    <w:rPr>
                      <w:rFonts w:ascii="Times New Roman" w:hAnsi="Times New Roman" w:eastAsia="宋体" w:cs="Times New Roman"/>
                      <w:bCs/>
                      <w:caps w:val="0"/>
                      <w:smallCaps w:val="0"/>
                      <w:color w:val="auto"/>
                      <w:spacing w:val="0"/>
                      <w:w w:val="100"/>
                      <w:sz w:val="21"/>
                      <w:szCs w:val="21"/>
                      <w:highlight w:val="none"/>
                      <w:u w:val="none"/>
                    </w:rPr>
                    <w:t>级</w:t>
                  </w:r>
                </w:p>
              </w:tc>
              <w:tc>
                <w:tcPr>
                  <w:tcW w:w="41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三级</w:t>
                  </w:r>
                </w:p>
              </w:tc>
              <w:tc>
                <w:tcPr>
                  <w:tcW w:w="4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三级</w:t>
                  </w:r>
                </w:p>
              </w:tc>
              <w:tc>
                <w:tcPr>
                  <w:tcW w:w="41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三级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16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 w:val="0"/>
                      <w:bCs/>
                      <w:caps w:val="0"/>
                      <w:smallCaps w:val="0"/>
                      <w:color w:val="auto"/>
                      <w:spacing w:val="0"/>
                      <w:w w:val="100"/>
                      <w:sz w:val="21"/>
                      <w:szCs w:val="21"/>
                      <w:highlight w:val="none"/>
                      <w:u w:val="none"/>
                    </w:rPr>
                    <w:t>较敏感</w:t>
                  </w:r>
                </w:p>
              </w:tc>
              <w:tc>
                <w:tcPr>
                  <w:tcW w:w="43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一级</w:t>
                  </w:r>
                </w:p>
              </w:tc>
              <w:tc>
                <w:tcPr>
                  <w:tcW w:w="42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一级</w:t>
                  </w:r>
                </w:p>
              </w:tc>
              <w:tc>
                <w:tcPr>
                  <w:tcW w:w="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二</w:t>
                  </w:r>
                  <w:r>
                    <w:rPr>
                      <w:rFonts w:ascii="Times New Roman" w:hAnsi="Times New Roman" w:eastAsia="宋体" w:cs="Times New Roman"/>
                      <w:bCs/>
                      <w:caps w:val="0"/>
                      <w:smallCaps w:val="0"/>
                      <w:color w:val="auto"/>
                      <w:spacing w:val="0"/>
                      <w:w w:val="100"/>
                      <w:sz w:val="21"/>
                      <w:szCs w:val="21"/>
                      <w:highlight w:val="none"/>
                      <w:u w:val="none"/>
                    </w:rPr>
                    <w:t>级</w:t>
                  </w:r>
                </w:p>
              </w:tc>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二</w:t>
                  </w:r>
                  <w:r>
                    <w:rPr>
                      <w:rFonts w:ascii="Times New Roman" w:hAnsi="Times New Roman" w:eastAsia="宋体" w:cs="Times New Roman"/>
                      <w:bCs/>
                      <w:caps w:val="0"/>
                      <w:smallCaps w:val="0"/>
                      <w:color w:val="auto"/>
                      <w:spacing w:val="0"/>
                      <w:w w:val="100"/>
                      <w:sz w:val="21"/>
                      <w:szCs w:val="21"/>
                      <w:highlight w:val="none"/>
                      <w:u w:val="none"/>
                    </w:rPr>
                    <w:t>级</w:t>
                  </w:r>
                </w:p>
              </w:tc>
              <w:tc>
                <w:tcPr>
                  <w:tcW w:w="4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三</w:t>
                  </w:r>
                  <w:r>
                    <w:rPr>
                      <w:rFonts w:ascii="Times New Roman" w:hAnsi="Times New Roman" w:eastAsia="宋体" w:cs="Times New Roman"/>
                      <w:bCs/>
                      <w:caps w:val="0"/>
                      <w:smallCaps w:val="0"/>
                      <w:color w:val="auto"/>
                      <w:spacing w:val="0"/>
                      <w:w w:val="100"/>
                      <w:sz w:val="21"/>
                      <w:szCs w:val="21"/>
                      <w:highlight w:val="none"/>
                      <w:u w:val="none"/>
                    </w:rPr>
                    <w:t>级</w:t>
                  </w:r>
                </w:p>
              </w:tc>
              <w:tc>
                <w:tcPr>
                  <w:tcW w:w="4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三</w:t>
                  </w:r>
                  <w:r>
                    <w:rPr>
                      <w:rFonts w:ascii="Times New Roman" w:hAnsi="Times New Roman" w:eastAsia="宋体" w:cs="Times New Roman"/>
                      <w:bCs/>
                      <w:caps w:val="0"/>
                      <w:smallCaps w:val="0"/>
                      <w:color w:val="auto"/>
                      <w:spacing w:val="0"/>
                      <w:w w:val="100"/>
                      <w:sz w:val="21"/>
                      <w:szCs w:val="21"/>
                      <w:highlight w:val="none"/>
                      <w:u w:val="none"/>
                    </w:rPr>
                    <w:t>级</w:t>
                  </w:r>
                </w:p>
              </w:tc>
              <w:tc>
                <w:tcPr>
                  <w:tcW w:w="41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三级</w:t>
                  </w:r>
                </w:p>
              </w:tc>
              <w:tc>
                <w:tcPr>
                  <w:tcW w:w="4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三级</w:t>
                  </w:r>
                </w:p>
              </w:tc>
              <w:tc>
                <w:tcPr>
                  <w:tcW w:w="41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imes New Roman" w:hAnsi="Times New Roman" w:eastAsia="宋体" w:cs="Times New Roman"/>
                      <w:bCs/>
                      <w:caps w:val="0"/>
                      <w:smallCaps w:val="0"/>
                      <w:color w:val="auto"/>
                      <w:spacing w:val="0"/>
                      <w:w w:val="100"/>
                      <w:sz w:val="21"/>
                      <w:szCs w:val="21"/>
                      <w:highlight w:val="none"/>
                      <w:u w:val="none"/>
                      <w:lang w:eastAsia="zh-CN"/>
                    </w:rPr>
                  </w:pPr>
                  <w:r>
                    <w:rPr>
                      <w:rFonts w:hint="eastAsia" w:ascii="Times New Roman" w:hAnsi="Times New Roman" w:eastAsia="宋体" w:cs="Times New Roman"/>
                      <w:bCs/>
                      <w:caps w:val="0"/>
                      <w:smallCaps w:val="0"/>
                      <w:color w:val="auto"/>
                      <w:spacing w:val="0"/>
                      <w:w w:val="100"/>
                      <w:sz w:val="21"/>
                      <w:szCs w:val="21"/>
                      <w:highlight w:val="none"/>
                      <w:u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16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
                      <w:bCs w:val="0"/>
                      <w:caps w:val="0"/>
                      <w:smallCaps w:val="0"/>
                      <w:color w:val="auto"/>
                      <w:spacing w:val="0"/>
                      <w:w w:val="100"/>
                      <w:sz w:val="21"/>
                      <w:szCs w:val="21"/>
                      <w:highlight w:val="none"/>
                      <w:u w:val="none"/>
                    </w:rPr>
                    <w:t>不敏感</w:t>
                  </w:r>
                </w:p>
              </w:tc>
              <w:tc>
                <w:tcPr>
                  <w:tcW w:w="43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一</w:t>
                  </w:r>
                  <w:r>
                    <w:rPr>
                      <w:rFonts w:ascii="Times New Roman" w:hAnsi="Times New Roman" w:eastAsia="宋体" w:cs="Times New Roman"/>
                      <w:bCs/>
                      <w:caps w:val="0"/>
                      <w:smallCaps w:val="0"/>
                      <w:color w:val="auto"/>
                      <w:spacing w:val="0"/>
                      <w:w w:val="100"/>
                      <w:sz w:val="21"/>
                      <w:szCs w:val="21"/>
                      <w:highlight w:val="none"/>
                      <w:u w:val="none"/>
                    </w:rPr>
                    <w:t>级</w:t>
                  </w:r>
                </w:p>
              </w:tc>
              <w:tc>
                <w:tcPr>
                  <w:tcW w:w="42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二</w:t>
                  </w:r>
                  <w:r>
                    <w:rPr>
                      <w:rFonts w:ascii="Times New Roman" w:hAnsi="Times New Roman" w:eastAsia="宋体" w:cs="Times New Roman"/>
                      <w:bCs/>
                      <w:caps w:val="0"/>
                      <w:smallCaps w:val="0"/>
                      <w:color w:val="auto"/>
                      <w:spacing w:val="0"/>
                      <w:w w:val="100"/>
                      <w:sz w:val="21"/>
                      <w:szCs w:val="21"/>
                      <w:highlight w:val="none"/>
                      <w:u w:val="none"/>
                    </w:rPr>
                    <w:t>级</w:t>
                  </w:r>
                </w:p>
              </w:tc>
              <w:tc>
                <w:tcPr>
                  <w:tcW w:w="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二</w:t>
                  </w:r>
                  <w:r>
                    <w:rPr>
                      <w:rFonts w:ascii="Times New Roman" w:hAnsi="Times New Roman" w:eastAsia="宋体" w:cs="Times New Roman"/>
                      <w:bCs/>
                      <w:caps w:val="0"/>
                      <w:smallCaps w:val="0"/>
                      <w:color w:val="auto"/>
                      <w:spacing w:val="0"/>
                      <w:w w:val="100"/>
                      <w:sz w:val="21"/>
                      <w:szCs w:val="21"/>
                      <w:highlight w:val="none"/>
                      <w:u w:val="none"/>
                    </w:rPr>
                    <w:t>级</w:t>
                  </w:r>
                </w:p>
              </w:tc>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二</w:t>
                  </w:r>
                  <w:r>
                    <w:rPr>
                      <w:rFonts w:ascii="Times New Roman" w:hAnsi="Times New Roman" w:eastAsia="宋体" w:cs="Times New Roman"/>
                      <w:bCs/>
                      <w:caps w:val="0"/>
                      <w:smallCaps w:val="0"/>
                      <w:color w:val="auto"/>
                      <w:spacing w:val="0"/>
                      <w:w w:val="100"/>
                      <w:sz w:val="21"/>
                      <w:szCs w:val="21"/>
                      <w:highlight w:val="none"/>
                      <w:u w:val="none"/>
                    </w:rPr>
                    <w:t>级</w:t>
                  </w:r>
                </w:p>
              </w:tc>
              <w:tc>
                <w:tcPr>
                  <w:tcW w:w="4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三</w:t>
                  </w:r>
                  <w:r>
                    <w:rPr>
                      <w:rFonts w:ascii="Times New Roman" w:hAnsi="Times New Roman" w:eastAsia="宋体" w:cs="Times New Roman"/>
                      <w:bCs/>
                      <w:caps w:val="0"/>
                      <w:smallCaps w:val="0"/>
                      <w:color w:val="auto"/>
                      <w:spacing w:val="0"/>
                      <w:w w:val="100"/>
                      <w:sz w:val="21"/>
                      <w:szCs w:val="21"/>
                      <w:highlight w:val="none"/>
                      <w:u w:val="none"/>
                    </w:rPr>
                    <w:t>级</w:t>
                  </w:r>
                </w:p>
              </w:tc>
              <w:tc>
                <w:tcPr>
                  <w:tcW w:w="4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三</w:t>
                  </w:r>
                  <w:r>
                    <w:rPr>
                      <w:rFonts w:ascii="Times New Roman" w:hAnsi="Times New Roman" w:eastAsia="宋体" w:cs="Times New Roman"/>
                      <w:bCs/>
                      <w:caps w:val="0"/>
                      <w:smallCaps w:val="0"/>
                      <w:color w:val="auto"/>
                      <w:spacing w:val="0"/>
                      <w:w w:val="100"/>
                      <w:sz w:val="21"/>
                      <w:szCs w:val="21"/>
                      <w:highlight w:val="none"/>
                      <w:u w:val="none"/>
                    </w:rPr>
                    <w:t>级</w:t>
                  </w:r>
                </w:p>
              </w:tc>
              <w:tc>
                <w:tcPr>
                  <w:tcW w:w="41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ascii="Times New Roman" w:hAnsi="Times New Roman" w:eastAsia="宋体" w:cs="Times New Roman"/>
                      <w:bCs/>
                      <w:caps w:val="0"/>
                      <w:smallCaps w:val="0"/>
                      <w:color w:val="auto"/>
                      <w:spacing w:val="0"/>
                      <w:w w:val="100"/>
                      <w:sz w:val="21"/>
                      <w:szCs w:val="21"/>
                      <w:highlight w:val="none"/>
                      <w:u w:val="none"/>
                    </w:rPr>
                    <w:t>三级</w:t>
                  </w:r>
                </w:p>
              </w:tc>
              <w:tc>
                <w:tcPr>
                  <w:tcW w:w="4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eastAsia" w:ascii="Times New Roman" w:hAnsi="Times New Roman" w:eastAsia="宋体" w:cs="Times New Roman"/>
                      <w:bCs/>
                      <w:caps w:val="0"/>
                      <w:smallCaps w:val="0"/>
                      <w:color w:val="auto"/>
                      <w:spacing w:val="0"/>
                      <w:w w:val="100"/>
                      <w:sz w:val="21"/>
                      <w:szCs w:val="21"/>
                      <w:highlight w:val="none"/>
                      <w:u w:val="none"/>
                      <w:lang w:eastAsia="zh-CN"/>
                    </w:rPr>
                    <w:t>—</w:t>
                  </w:r>
                </w:p>
              </w:tc>
              <w:tc>
                <w:tcPr>
                  <w:tcW w:w="41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eastAsia" w:ascii="Times New Roman" w:hAnsi="Times New Roman" w:eastAsia="宋体" w:cs="Times New Roman"/>
                      <w:bCs/>
                      <w:caps w:val="0"/>
                      <w:smallCaps w:val="0"/>
                      <w:color w:val="auto"/>
                      <w:spacing w:val="0"/>
                      <w:w w:val="100"/>
                      <w:sz w:val="21"/>
                      <w:szCs w:val="21"/>
                      <w:highlight w:val="none"/>
                      <w:u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00" w:type="pct"/>
                  <w:gridSpan w:val="10"/>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240" w:lineRule="auto"/>
                    <w:jc w:val="both"/>
                    <w:textAlignment w:val="auto"/>
                    <w:rPr>
                      <w:rFonts w:ascii="Times New Roman" w:hAnsi="Times New Roman" w:eastAsia="宋体" w:cs="Times New Roman"/>
                      <w:bCs/>
                      <w:caps w:val="0"/>
                      <w:smallCaps w:val="0"/>
                      <w:color w:val="auto"/>
                      <w:spacing w:val="0"/>
                      <w:w w:val="100"/>
                      <w:sz w:val="21"/>
                      <w:szCs w:val="21"/>
                      <w:highlight w:val="none"/>
                      <w:u w:val="none"/>
                    </w:rPr>
                  </w:pPr>
                  <w:r>
                    <w:rPr>
                      <w:rFonts w:hint="default" w:ascii="Times New Roman" w:hAnsi="Times New Roman" w:eastAsia="宋体" w:cs="Times New Roman"/>
                      <w:bCs/>
                      <w:caps w:val="0"/>
                      <w:smallCaps w:val="0"/>
                      <w:color w:val="auto"/>
                      <w:spacing w:val="0"/>
                      <w:w w:val="100"/>
                      <w:sz w:val="21"/>
                      <w:szCs w:val="21"/>
                      <w:highlight w:val="none"/>
                      <w:u w:val="none"/>
                    </w:rPr>
                    <w:t>注：“--”表示可不开展土壤环境影响评价工作</w:t>
                  </w:r>
                </w:p>
              </w:tc>
            </w:tr>
          </w:tbl>
          <w:p>
            <w:pPr>
              <w:topLinePunct/>
              <w:spacing w:line="480" w:lineRule="exact"/>
              <w:ind w:firstLine="480" w:firstLineChars="200"/>
              <w:jc w:val="left"/>
              <w:rPr>
                <w:rFonts w:hint="eastAsia" w:eastAsia="宋体"/>
                <w:color w:val="auto"/>
                <w:sz w:val="24"/>
                <w:highlight w:val="none"/>
                <w:lang w:eastAsia="zh-CN"/>
              </w:rPr>
            </w:pPr>
            <w:r>
              <w:rPr>
                <w:color w:val="auto"/>
                <w:sz w:val="24"/>
                <w:highlight w:val="none"/>
              </w:rPr>
              <w:t>由表3</w:t>
            </w:r>
            <w:r>
              <w:rPr>
                <w:rFonts w:hint="eastAsia"/>
                <w:color w:val="auto"/>
                <w:sz w:val="24"/>
                <w:highlight w:val="none"/>
                <w:lang w:val="en-US" w:eastAsia="zh-CN"/>
              </w:rPr>
              <w:t>7</w:t>
            </w:r>
            <w:r>
              <w:rPr>
                <w:color w:val="auto"/>
                <w:sz w:val="24"/>
                <w:highlight w:val="none"/>
              </w:rPr>
              <w:t>可以确定，本项目属于“</w:t>
            </w:r>
            <w:r>
              <w:rPr>
                <w:color w:val="auto"/>
                <w:sz w:val="24"/>
                <w:szCs w:val="22"/>
                <w:highlight w:val="none"/>
              </w:rPr>
              <w:t>Ⅲ</w:t>
            </w:r>
            <w:r>
              <w:rPr>
                <w:color w:val="auto"/>
                <w:sz w:val="24"/>
                <w:highlight w:val="none"/>
              </w:rPr>
              <w:t>类”项目，占地规模为“</w:t>
            </w:r>
            <w:r>
              <w:rPr>
                <w:rFonts w:hint="eastAsia"/>
                <w:color w:val="auto"/>
                <w:sz w:val="24"/>
                <w:highlight w:val="none"/>
                <w:lang w:eastAsia="zh-CN"/>
              </w:rPr>
              <w:t>小</w:t>
            </w:r>
            <w:r>
              <w:rPr>
                <w:color w:val="auto"/>
                <w:sz w:val="24"/>
                <w:highlight w:val="none"/>
              </w:rPr>
              <w:t>型”，敏感程度为“</w:t>
            </w:r>
            <w:r>
              <w:rPr>
                <w:rFonts w:hint="eastAsia"/>
                <w:color w:val="auto"/>
                <w:sz w:val="24"/>
                <w:highlight w:val="none"/>
                <w:lang w:eastAsia="zh-CN"/>
              </w:rPr>
              <w:t>不</w:t>
            </w:r>
            <w:r>
              <w:rPr>
                <w:color w:val="auto"/>
                <w:sz w:val="24"/>
                <w:highlight w:val="none"/>
              </w:rPr>
              <w:t>敏感”，</w:t>
            </w:r>
            <w:r>
              <w:rPr>
                <w:rFonts w:hint="default" w:ascii="Times New Roman" w:hAnsi="Times New Roman" w:eastAsia="宋体" w:cs="Times New Roman"/>
                <w:color w:val="auto"/>
                <w:sz w:val="24"/>
                <w:szCs w:val="24"/>
                <w:highlight w:val="none"/>
                <w:lang w:eastAsia="zh-CN"/>
              </w:rPr>
              <w:t>根据</w:t>
            </w:r>
            <w:r>
              <w:rPr>
                <w:rFonts w:hint="default" w:ascii="Times New Roman" w:hAnsi="Times New Roman" w:eastAsia="宋体" w:cs="Times New Roman"/>
                <w:color w:val="auto"/>
                <w:sz w:val="24"/>
                <w:szCs w:val="22"/>
                <w:highlight w:val="none"/>
              </w:rPr>
              <w:t>《环境影响评价技术导则  土壤环境（试行）》（HJ964-2018）</w:t>
            </w:r>
            <w:r>
              <w:rPr>
                <w:rFonts w:hint="default" w:ascii="Times New Roman" w:hAnsi="Times New Roman" w:eastAsia="宋体" w:cs="Times New Roman"/>
                <w:color w:val="auto"/>
                <w:sz w:val="24"/>
                <w:szCs w:val="22"/>
                <w:highlight w:val="none"/>
                <w:lang w:eastAsia="zh-CN"/>
              </w:rPr>
              <w:t>，</w:t>
            </w:r>
            <w:r>
              <w:rPr>
                <w:rFonts w:hint="eastAsia" w:ascii="Times New Roman" w:hAnsi="Times New Roman" w:cs="Times New Roman"/>
                <w:caps w:val="0"/>
                <w:smallCaps w:val="0"/>
                <w:color w:val="auto"/>
                <w:spacing w:val="0"/>
                <w:w w:val="100"/>
                <w:sz w:val="24"/>
                <w:szCs w:val="24"/>
                <w:highlight w:val="none"/>
                <w:u w:val="none"/>
                <w:lang w:eastAsia="zh-CN"/>
              </w:rPr>
              <w:t>不开展土壤环境影响评价</w:t>
            </w:r>
            <w:r>
              <w:rPr>
                <w:rFonts w:hint="default" w:ascii="Times New Roman" w:hAnsi="Times New Roman" w:cs="Times New Roman"/>
                <w:caps w:val="0"/>
                <w:smallCaps w:val="0"/>
                <w:color w:val="auto"/>
                <w:spacing w:val="0"/>
                <w:w w:val="100"/>
                <w:sz w:val="24"/>
                <w:szCs w:val="24"/>
                <w:highlight w:val="none"/>
                <w:u w:val="none"/>
              </w:rPr>
              <w:t>。</w:t>
            </w:r>
          </w:p>
          <w:p>
            <w:pPr>
              <w:spacing w:line="360" w:lineRule="auto"/>
              <w:ind w:firstLine="482" w:firstLineChars="200"/>
              <w:jc w:val="left"/>
              <w:rPr>
                <w:rFonts w:hint="eastAsia" w:ascii="Times New Roman" w:hAnsi="Times New Roman" w:eastAsia="宋体"/>
                <w:color w:val="auto"/>
                <w:w w:val="100"/>
                <w:sz w:val="24"/>
                <w:szCs w:val="24"/>
                <w:highlight w:val="none"/>
                <w:lang w:val="en-US" w:eastAsia="zh-CN"/>
              </w:rPr>
            </w:pPr>
            <w:r>
              <w:rPr>
                <w:rFonts w:hint="eastAsia"/>
                <w:b/>
                <w:bCs/>
                <w:color w:val="auto"/>
                <w:sz w:val="24"/>
                <w:szCs w:val="22"/>
                <w:highlight w:val="none"/>
                <w:lang w:val="en-US" w:eastAsia="zh-CN"/>
              </w:rPr>
              <w:t>（5</w:t>
            </w:r>
            <w:r>
              <w:rPr>
                <w:rFonts w:hint="eastAsia"/>
                <w:b/>
                <w:bCs/>
                <w:color w:val="auto"/>
                <w:sz w:val="24"/>
                <w:szCs w:val="22"/>
                <w:highlight w:val="none"/>
              </w:rPr>
              <w:t>）</w:t>
            </w:r>
            <w:r>
              <w:rPr>
                <w:b/>
                <w:bCs/>
                <w:color w:val="auto"/>
                <w:sz w:val="24"/>
                <w:szCs w:val="22"/>
                <w:highlight w:val="none"/>
              </w:rPr>
              <w:t>环境</w:t>
            </w:r>
            <w:r>
              <w:rPr>
                <w:rFonts w:hint="eastAsia"/>
                <w:b/>
                <w:bCs/>
                <w:color w:val="auto"/>
                <w:sz w:val="24"/>
                <w:szCs w:val="22"/>
                <w:highlight w:val="none"/>
                <w:lang w:eastAsia="zh-CN"/>
              </w:rPr>
              <w:t>风险</w:t>
            </w:r>
            <w:r>
              <w:rPr>
                <w:b/>
                <w:bCs/>
                <w:color w:val="auto"/>
                <w:sz w:val="24"/>
                <w:szCs w:val="22"/>
                <w:highlight w:val="none"/>
              </w:rPr>
              <w:t>影响</w:t>
            </w:r>
            <w:r>
              <w:rPr>
                <w:rFonts w:hint="eastAsia"/>
                <w:b/>
                <w:bCs/>
                <w:color w:val="auto"/>
                <w:sz w:val="24"/>
                <w:szCs w:val="22"/>
                <w:highlight w:val="none"/>
                <w:lang w:eastAsia="zh-CN"/>
              </w:rPr>
              <w:t>分析</w:t>
            </w:r>
          </w:p>
          <w:p>
            <w:pPr>
              <w:tabs>
                <w:tab w:val="left" w:pos="7380"/>
              </w:tabs>
              <w:spacing w:line="480" w:lineRule="exact"/>
              <w:ind w:firstLine="480" w:firstLineChars="200"/>
              <w:rPr>
                <w:rFonts w:hint="eastAsia" w:ascii="Times New Roman" w:hAnsi="Times New Roman"/>
                <w:color w:val="auto"/>
                <w:w w:val="100"/>
                <w:sz w:val="24"/>
                <w:szCs w:val="24"/>
                <w:highlight w:val="none"/>
                <w:lang w:val="en-US" w:eastAsia="zh-CN"/>
              </w:rPr>
            </w:pPr>
            <w:r>
              <w:rPr>
                <w:rFonts w:hint="eastAsia" w:ascii="Times New Roman" w:hAnsi="Times New Roman"/>
                <w:color w:val="auto"/>
                <w:w w:val="100"/>
                <w:sz w:val="24"/>
                <w:szCs w:val="24"/>
                <w:highlight w:val="none"/>
                <w:lang w:val="en-US" w:eastAsia="zh-CN"/>
              </w:rPr>
              <w:t>本项目涉及的危险物质主要为</w:t>
            </w:r>
            <w:r>
              <w:rPr>
                <w:rFonts w:hint="eastAsia"/>
                <w:color w:val="auto"/>
                <w:w w:val="100"/>
                <w:sz w:val="24"/>
                <w:szCs w:val="24"/>
                <w:highlight w:val="none"/>
                <w:lang w:val="en-US" w:eastAsia="zh-CN"/>
              </w:rPr>
              <w:t>丙烷、</w:t>
            </w:r>
            <w:r>
              <w:rPr>
                <w:rFonts w:hint="eastAsia" w:ascii="Times New Roman" w:hAnsi="Times New Roman"/>
                <w:color w:val="auto"/>
                <w:w w:val="100"/>
                <w:sz w:val="24"/>
                <w:szCs w:val="24"/>
                <w:highlight w:val="none"/>
                <w:lang w:val="en-US" w:eastAsia="zh-CN"/>
              </w:rPr>
              <w:t>润滑油、</w:t>
            </w:r>
            <w:r>
              <w:rPr>
                <w:rFonts w:hint="eastAsia"/>
                <w:color w:val="auto"/>
                <w:w w:val="100"/>
                <w:sz w:val="24"/>
                <w:szCs w:val="24"/>
                <w:highlight w:val="none"/>
                <w:lang w:val="en-US" w:eastAsia="zh-CN"/>
              </w:rPr>
              <w:t>液压</w:t>
            </w:r>
            <w:r>
              <w:rPr>
                <w:rFonts w:hint="eastAsia" w:ascii="Times New Roman" w:hAnsi="Times New Roman"/>
                <w:color w:val="auto"/>
                <w:w w:val="100"/>
                <w:sz w:val="24"/>
                <w:szCs w:val="24"/>
                <w:highlight w:val="none"/>
                <w:lang w:val="en-US" w:eastAsia="zh-CN"/>
              </w:rPr>
              <w:t>油、</w:t>
            </w:r>
            <w:r>
              <w:rPr>
                <w:rFonts w:hint="eastAsia"/>
                <w:color w:val="auto"/>
                <w:w w:val="100"/>
                <w:sz w:val="24"/>
                <w:szCs w:val="24"/>
                <w:highlight w:val="none"/>
                <w:lang w:val="en-US" w:eastAsia="zh-CN"/>
              </w:rPr>
              <w:t>切削液、</w:t>
            </w:r>
            <w:r>
              <w:rPr>
                <w:rFonts w:hint="eastAsia" w:ascii="Times New Roman" w:hAnsi="Times New Roman"/>
                <w:color w:val="auto"/>
                <w:w w:val="100"/>
                <w:sz w:val="24"/>
                <w:szCs w:val="24"/>
                <w:highlight w:val="none"/>
                <w:lang w:val="en-US" w:eastAsia="zh-CN"/>
              </w:rPr>
              <w:t>废润滑油、废</w:t>
            </w:r>
            <w:r>
              <w:rPr>
                <w:rFonts w:hint="eastAsia"/>
                <w:color w:val="auto"/>
                <w:w w:val="100"/>
                <w:sz w:val="24"/>
                <w:szCs w:val="24"/>
                <w:highlight w:val="none"/>
                <w:lang w:val="en-US" w:eastAsia="zh-CN"/>
              </w:rPr>
              <w:t>液压</w:t>
            </w:r>
            <w:r>
              <w:rPr>
                <w:rFonts w:hint="eastAsia" w:ascii="Times New Roman" w:hAnsi="Times New Roman"/>
                <w:color w:val="auto"/>
                <w:w w:val="100"/>
                <w:sz w:val="24"/>
                <w:szCs w:val="24"/>
                <w:highlight w:val="none"/>
                <w:lang w:val="en-US" w:eastAsia="zh-CN"/>
              </w:rPr>
              <w:t>油</w:t>
            </w:r>
            <w:r>
              <w:rPr>
                <w:rFonts w:hint="eastAsia"/>
                <w:color w:val="auto"/>
                <w:w w:val="100"/>
                <w:sz w:val="24"/>
                <w:szCs w:val="24"/>
                <w:highlight w:val="none"/>
                <w:lang w:val="en-US" w:eastAsia="zh-CN"/>
              </w:rPr>
              <w:t>、废切削液</w:t>
            </w:r>
            <w:r>
              <w:rPr>
                <w:rFonts w:hint="eastAsia" w:ascii="Times New Roman" w:hAnsi="Times New Roman"/>
                <w:color w:val="auto"/>
                <w:w w:val="100"/>
                <w:sz w:val="24"/>
                <w:szCs w:val="24"/>
                <w:highlight w:val="none"/>
                <w:lang w:val="en-US" w:eastAsia="zh-CN"/>
              </w:rPr>
              <w:t>，项目根据《建设项目环境风险评价技术导则》（HJ169-2018），通过源项分析对生产事故可能引发的环境风险影响进行分析，并提出相应的应急处理措施。</w:t>
            </w:r>
          </w:p>
          <w:p>
            <w:pPr>
              <w:pStyle w:val="5"/>
              <w:keepNext w:val="0"/>
              <w:keepLines w:val="0"/>
              <w:pageBreakBefore w:val="0"/>
              <w:widowControl/>
              <w:kinsoku/>
              <w:wordWrap/>
              <w:overflowPunct/>
              <w:topLinePunct w:val="0"/>
              <w:autoSpaceDE/>
              <w:autoSpaceDN/>
              <w:bidi w:val="0"/>
              <w:adjustRightInd/>
              <w:snapToGrid/>
              <w:spacing w:before="0" w:after="0" w:line="480" w:lineRule="exact"/>
              <w:ind w:firstLine="480" w:firstLineChars="200"/>
              <w:jc w:val="left"/>
              <w:textAlignment w:val="auto"/>
              <w:rPr>
                <w:rFonts w:hint="eastAsia" w:ascii="Times New Roman" w:hAnsi="Times New Roman"/>
                <w:bCs/>
                <w:caps w:val="0"/>
                <w:smallCaps w:val="0"/>
                <w:color w:val="auto"/>
                <w:w w:val="100"/>
                <w:kern w:val="2"/>
                <w:sz w:val="24"/>
                <w:szCs w:val="24"/>
                <w:highlight w:val="none"/>
                <w:lang w:val="en-US" w:eastAsia="zh-CN" w:bidi="ar-SA"/>
              </w:rPr>
            </w:pPr>
            <w:r>
              <w:rPr>
                <w:rFonts w:hint="eastAsia" w:ascii="Times New Roman" w:hAnsi="Times New Roman" w:eastAsia="宋体"/>
                <w:b w:val="0"/>
                <w:bCs w:val="0"/>
                <w:color w:val="auto"/>
                <w:w w:val="100"/>
                <w:kern w:val="2"/>
                <w:sz w:val="24"/>
                <w:szCs w:val="24"/>
                <w:highlight w:val="none"/>
                <w:lang w:val="en-US" w:eastAsia="zh-CN" w:bidi="ar-SA"/>
              </w:rPr>
              <w:t>（1）风险评价依据：根据《建设项目环境风险评价技术导则》（HJ169-2018），环境风险评价等级划分依据见表38。</w:t>
            </w:r>
          </w:p>
          <w:p>
            <w:pPr>
              <w:pStyle w:val="15"/>
              <w:keepNext w:val="0"/>
              <w:keepLines w:val="0"/>
              <w:pageBreakBefore w:val="0"/>
              <w:widowControl w:val="0"/>
              <w:tabs>
                <w:tab w:val="left" w:pos="480"/>
              </w:tabs>
              <w:kinsoku/>
              <w:wordWrap/>
              <w:overflowPunct/>
              <w:topLinePunct w:val="0"/>
              <w:autoSpaceDE/>
              <w:autoSpaceDN/>
              <w:bidi w:val="0"/>
              <w:adjustRightInd/>
              <w:snapToGrid/>
              <w:spacing w:line="480" w:lineRule="exact"/>
              <w:jc w:val="center"/>
              <w:textAlignment w:val="auto"/>
              <w:rPr>
                <w:rFonts w:hint="eastAsia" w:ascii="Times New Roman" w:hAnsi="Times New Roman" w:eastAsia="黑体"/>
                <w:bCs/>
                <w:caps w:val="0"/>
                <w:smallCaps w:val="0"/>
                <w:color w:val="auto"/>
                <w:w w:val="100"/>
                <w:sz w:val="24"/>
                <w:szCs w:val="24"/>
                <w:highlight w:val="none"/>
              </w:rPr>
            </w:pPr>
            <w:r>
              <w:rPr>
                <w:rFonts w:ascii="Times New Roman" w:hAnsi="Times New Roman" w:eastAsia="黑体"/>
                <w:bCs/>
                <w:caps w:val="0"/>
                <w:smallCaps w:val="0"/>
                <w:color w:val="auto"/>
                <w:w w:val="100"/>
                <w:sz w:val="24"/>
                <w:szCs w:val="24"/>
                <w:highlight w:val="none"/>
                <w:lang w:val="zh-CN"/>
              </w:rPr>
              <w:t>表</w:t>
            </w:r>
            <w:r>
              <w:rPr>
                <w:rFonts w:hint="eastAsia" w:ascii="Times New Roman" w:hAnsi="Times New Roman" w:eastAsia="黑体"/>
                <w:bCs/>
                <w:caps w:val="0"/>
                <w:smallCaps w:val="0"/>
                <w:color w:val="auto"/>
                <w:w w:val="100"/>
                <w:sz w:val="24"/>
                <w:szCs w:val="24"/>
                <w:highlight w:val="none"/>
                <w:lang w:val="en-US" w:eastAsia="zh-CN"/>
              </w:rPr>
              <w:t xml:space="preserve">38 </w:t>
            </w:r>
            <w:r>
              <w:rPr>
                <w:rFonts w:ascii="Times New Roman" w:hAnsi="Times New Roman" w:eastAsia="黑体"/>
                <w:bCs/>
                <w:caps w:val="0"/>
                <w:smallCaps w:val="0"/>
                <w:color w:val="auto"/>
                <w:w w:val="100"/>
                <w:sz w:val="24"/>
                <w:szCs w:val="24"/>
                <w:highlight w:val="none"/>
              </w:rPr>
              <w:t xml:space="preserve"> </w:t>
            </w:r>
            <w:r>
              <w:rPr>
                <w:rFonts w:ascii="Times New Roman" w:hAnsi="Times New Roman" w:eastAsia="黑体"/>
                <w:bCs/>
                <w:caps w:val="0"/>
                <w:smallCaps w:val="0"/>
                <w:color w:val="auto"/>
                <w:w w:val="100"/>
                <w:sz w:val="24"/>
                <w:szCs w:val="24"/>
                <w:highlight w:val="none"/>
                <w:lang w:val="zh-CN"/>
              </w:rPr>
              <w:t>评价工作</w:t>
            </w:r>
            <w:r>
              <w:rPr>
                <w:rFonts w:hint="eastAsia" w:ascii="Times New Roman" w:hAnsi="Times New Roman" w:eastAsia="黑体"/>
                <w:bCs/>
                <w:caps w:val="0"/>
                <w:smallCaps w:val="0"/>
                <w:color w:val="auto"/>
                <w:w w:val="100"/>
                <w:sz w:val="24"/>
                <w:szCs w:val="24"/>
                <w:highlight w:val="none"/>
              </w:rPr>
              <w:t>等级划分</w:t>
            </w:r>
          </w:p>
          <w:tbl>
            <w:tblPr>
              <w:tblStyle w:val="31"/>
              <w:tblW w:w="4998" w:type="pct"/>
              <w:jc w:val="center"/>
              <w:tblBorders>
                <w:top w:val="single" w:color="000000" w:sz="12" w:space="0"/>
                <w:left w:val="single" w:color="auto" w:sz="12" w:space="0"/>
                <w:bottom w:val="single" w:color="000000" w:sz="12" w:space="0"/>
                <w:right w:val="single" w:color="auto" w:sz="12" w:space="0"/>
                <w:insideH w:val="single" w:color="000000" w:sz="2" w:space="0"/>
                <w:insideV w:val="single" w:color="000000" w:sz="2" w:space="0"/>
              </w:tblBorders>
              <w:tblLayout w:type="fixed"/>
              <w:tblCellMar>
                <w:top w:w="0" w:type="dxa"/>
                <w:left w:w="0" w:type="dxa"/>
                <w:bottom w:w="0" w:type="dxa"/>
                <w:right w:w="0" w:type="dxa"/>
              </w:tblCellMar>
            </w:tblPr>
            <w:tblGrid>
              <w:gridCol w:w="1579"/>
              <w:gridCol w:w="1722"/>
              <w:gridCol w:w="1900"/>
              <w:gridCol w:w="2216"/>
              <w:gridCol w:w="1734"/>
            </w:tblGrid>
            <w:tr>
              <w:tblPrEx>
                <w:tblBorders>
                  <w:top w:val="single" w:color="000000" w:sz="12" w:space="0"/>
                  <w:left w:val="single" w:color="auto" w:sz="12" w:space="0"/>
                  <w:bottom w:val="single" w:color="000000"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863" w:type="pct"/>
                  <w:noWrap w:val="0"/>
                  <w:vAlign w:val="center"/>
                </w:tcPr>
                <w:p>
                  <w:pPr>
                    <w:spacing w:line="360" w:lineRule="exact"/>
                    <w:jc w:val="center"/>
                    <w:rPr>
                      <w:rFonts w:hint="eastAsia" w:ascii="Times New Roman" w:hAnsi="Times New Roman"/>
                      <w:caps w:val="0"/>
                      <w:smallCaps w:val="0"/>
                      <w:snapToGrid w:val="0"/>
                      <w:color w:val="auto"/>
                      <w:w w:val="100"/>
                      <w:sz w:val="21"/>
                      <w:szCs w:val="21"/>
                      <w:highlight w:val="none"/>
                    </w:rPr>
                  </w:pPr>
                  <w:r>
                    <w:rPr>
                      <w:rFonts w:hint="eastAsia" w:ascii="Times New Roman" w:hAnsi="Times New Roman"/>
                      <w:caps w:val="0"/>
                      <w:smallCaps w:val="0"/>
                      <w:snapToGrid w:val="0"/>
                      <w:color w:val="auto"/>
                      <w:w w:val="100"/>
                      <w:sz w:val="21"/>
                      <w:szCs w:val="21"/>
                      <w:highlight w:val="none"/>
                    </w:rPr>
                    <w:t>环境风险潜势</w:t>
                  </w:r>
                </w:p>
              </w:tc>
              <w:tc>
                <w:tcPr>
                  <w:tcW w:w="941" w:type="pct"/>
                  <w:noWrap w:val="0"/>
                  <w:vAlign w:val="center"/>
                </w:tcPr>
                <w:p>
                  <w:pPr>
                    <w:spacing w:line="360" w:lineRule="exact"/>
                    <w:jc w:val="center"/>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fldChar w:fldCharType="begin"/>
                  </w:r>
                  <w:r>
                    <w:rPr>
                      <w:rFonts w:hint="eastAsia" w:ascii="Times New Roman" w:hAnsi="Times New Roman"/>
                      <w:caps w:val="0"/>
                      <w:smallCaps w:val="0"/>
                      <w:color w:val="auto"/>
                      <w:w w:val="100"/>
                      <w:sz w:val="21"/>
                      <w:szCs w:val="21"/>
                      <w:highlight w:val="none"/>
                    </w:rPr>
                    <w:instrText xml:space="preserve"> = 4 \* ROMAN \* MERGEFORMAT </w:instrText>
                  </w:r>
                  <w:r>
                    <w:rPr>
                      <w:rFonts w:hint="eastAsia" w:ascii="Times New Roman" w:hAnsi="Times New Roman"/>
                      <w:caps w:val="0"/>
                      <w:smallCaps w:val="0"/>
                      <w:color w:val="auto"/>
                      <w:w w:val="100"/>
                      <w:sz w:val="21"/>
                      <w:szCs w:val="21"/>
                      <w:highlight w:val="none"/>
                    </w:rPr>
                    <w:fldChar w:fldCharType="separate"/>
                  </w:r>
                  <w:r>
                    <w:rPr>
                      <w:rFonts w:hint="eastAsia" w:ascii="Times New Roman" w:hAnsi="Times New Roman"/>
                      <w:caps w:val="0"/>
                      <w:smallCaps w:val="0"/>
                      <w:color w:val="auto"/>
                      <w:w w:val="100"/>
                      <w:sz w:val="21"/>
                      <w:szCs w:val="21"/>
                      <w:highlight w:val="none"/>
                    </w:rPr>
                    <w:t>IV</w:t>
                  </w:r>
                  <w:r>
                    <w:rPr>
                      <w:rFonts w:hint="eastAsia" w:ascii="Times New Roman" w:hAnsi="Times New Roman"/>
                      <w:caps w:val="0"/>
                      <w:smallCaps w:val="0"/>
                      <w:color w:val="auto"/>
                      <w:w w:val="100"/>
                      <w:sz w:val="21"/>
                      <w:szCs w:val="21"/>
                      <w:highlight w:val="none"/>
                    </w:rPr>
                    <w:fldChar w:fldCharType="end"/>
                  </w:r>
                  <w:r>
                    <w:rPr>
                      <w:rFonts w:hint="eastAsia" w:ascii="Times New Roman" w:hAnsi="Times New Roman"/>
                      <w:caps w:val="0"/>
                      <w:smallCaps w:val="0"/>
                      <w:color w:val="auto"/>
                      <w:w w:val="100"/>
                      <w:sz w:val="21"/>
                      <w:szCs w:val="21"/>
                      <w:highlight w:val="none"/>
                    </w:rPr>
                    <w:t>、</w:t>
                  </w:r>
                  <w:r>
                    <w:rPr>
                      <w:rFonts w:hint="eastAsia" w:ascii="Times New Roman" w:hAnsi="Times New Roman"/>
                      <w:caps w:val="0"/>
                      <w:smallCaps w:val="0"/>
                      <w:color w:val="auto"/>
                      <w:w w:val="100"/>
                      <w:sz w:val="21"/>
                      <w:szCs w:val="21"/>
                      <w:highlight w:val="none"/>
                    </w:rPr>
                    <w:fldChar w:fldCharType="begin"/>
                  </w:r>
                  <w:r>
                    <w:rPr>
                      <w:rFonts w:hint="eastAsia" w:ascii="Times New Roman" w:hAnsi="Times New Roman"/>
                      <w:caps w:val="0"/>
                      <w:smallCaps w:val="0"/>
                      <w:color w:val="auto"/>
                      <w:w w:val="100"/>
                      <w:sz w:val="21"/>
                      <w:szCs w:val="21"/>
                      <w:highlight w:val="none"/>
                    </w:rPr>
                    <w:instrText xml:space="preserve"> = 4 \* ROMAN \* MERGEFORMAT </w:instrText>
                  </w:r>
                  <w:r>
                    <w:rPr>
                      <w:rFonts w:hint="eastAsia" w:ascii="Times New Roman" w:hAnsi="Times New Roman"/>
                      <w:caps w:val="0"/>
                      <w:smallCaps w:val="0"/>
                      <w:color w:val="auto"/>
                      <w:w w:val="100"/>
                      <w:sz w:val="21"/>
                      <w:szCs w:val="21"/>
                      <w:highlight w:val="none"/>
                    </w:rPr>
                    <w:fldChar w:fldCharType="separate"/>
                  </w:r>
                  <w:r>
                    <w:rPr>
                      <w:rFonts w:hint="eastAsia" w:ascii="Times New Roman" w:hAnsi="Times New Roman"/>
                      <w:caps w:val="0"/>
                      <w:smallCaps w:val="0"/>
                      <w:color w:val="auto"/>
                      <w:w w:val="100"/>
                      <w:sz w:val="21"/>
                      <w:szCs w:val="21"/>
                      <w:highlight w:val="none"/>
                    </w:rPr>
                    <w:t>IV</w:t>
                  </w:r>
                  <w:r>
                    <w:rPr>
                      <w:rFonts w:hint="eastAsia" w:ascii="Times New Roman" w:hAnsi="Times New Roman"/>
                      <w:caps w:val="0"/>
                      <w:smallCaps w:val="0"/>
                      <w:color w:val="auto"/>
                      <w:w w:val="100"/>
                      <w:sz w:val="21"/>
                      <w:szCs w:val="21"/>
                      <w:highlight w:val="none"/>
                    </w:rPr>
                    <w:fldChar w:fldCharType="end"/>
                  </w:r>
                  <w:r>
                    <w:rPr>
                      <w:rFonts w:hint="eastAsia" w:ascii="Times New Roman" w:hAnsi="Times New Roman"/>
                      <w:caps w:val="0"/>
                      <w:smallCaps w:val="0"/>
                      <w:color w:val="auto"/>
                      <w:w w:val="100"/>
                      <w:sz w:val="21"/>
                      <w:szCs w:val="21"/>
                      <w:highlight w:val="none"/>
                      <w:vertAlign w:val="subscript"/>
                    </w:rPr>
                    <w:t>+</w:t>
                  </w:r>
                </w:p>
              </w:tc>
              <w:tc>
                <w:tcPr>
                  <w:tcW w:w="1038" w:type="pct"/>
                  <w:noWrap w:val="0"/>
                  <w:vAlign w:val="center"/>
                </w:tcPr>
                <w:p>
                  <w:pPr>
                    <w:spacing w:line="360" w:lineRule="exact"/>
                    <w:jc w:val="center"/>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fldChar w:fldCharType="begin"/>
                  </w:r>
                  <w:r>
                    <w:rPr>
                      <w:rFonts w:hint="eastAsia" w:ascii="Times New Roman" w:hAnsi="Times New Roman"/>
                      <w:caps w:val="0"/>
                      <w:smallCaps w:val="0"/>
                      <w:color w:val="auto"/>
                      <w:w w:val="100"/>
                      <w:sz w:val="21"/>
                      <w:szCs w:val="21"/>
                      <w:highlight w:val="none"/>
                    </w:rPr>
                    <w:instrText xml:space="preserve"> = 3 \* ROMAN \* MERGEFORMAT </w:instrText>
                  </w:r>
                  <w:r>
                    <w:rPr>
                      <w:rFonts w:hint="eastAsia" w:ascii="Times New Roman" w:hAnsi="Times New Roman"/>
                      <w:caps w:val="0"/>
                      <w:smallCaps w:val="0"/>
                      <w:color w:val="auto"/>
                      <w:w w:val="100"/>
                      <w:sz w:val="21"/>
                      <w:szCs w:val="21"/>
                      <w:highlight w:val="none"/>
                    </w:rPr>
                    <w:fldChar w:fldCharType="separate"/>
                  </w:r>
                  <w:r>
                    <w:rPr>
                      <w:rFonts w:hint="eastAsia" w:ascii="Times New Roman" w:hAnsi="Times New Roman"/>
                      <w:caps w:val="0"/>
                      <w:smallCaps w:val="0"/>
                      <w:color w:val="auto"/>
                      <w:w w:val="100"/>
                      <w:sz w:val="21"/>
                      <w:szCs w:val="21"/>
                      <w:highlight w:val="none"/>
                    </w:rPr>
                    <w:t>III</w:t>
                  </w:r>
                  <w:r>
                    <w:rPr>
                      <w:rFonts w:hint="eastAsia" w:ascii="Times New Roman" w:hAnsi="Times New Roman"/>
                      <w:caps w:val="0"/>
                      <w:smallCaps w:val="0"/>
                      <w:color w:val="auto"/>
                      <w:w w:val="100"/>
                      <w:sz w:val="21"/>
                      <w:szCs w:val="21"/>
                      <w:highlight w:val="none"/>
                    </w:rPr>
                    <w:fldChar w:fldCharType="end"/>
                  </w:r>
                </w:p>
              </w:tc>
              <w:tc>
                <w:tcPr>
                  <w:tcW w:w="1211" w:type="pct"/>
                  <w:noWrap w:val="0"/>
                  <w:vAlign w:val="center"/>
                </w:tcPr>
                <w:p>
                  <w:pPr>
                    <w:spacing w:line="360" w:lineRule="exact"/>
                    <w:jc w:val="center"/>
                    <w:rPr>
                      <w:rFonts w:ascii="Times New Roman" w:hAnsi="Times New Roman"/>
                      <w:caps w:val="0"/>
                      <w:smallCaps w:val="0"/>
                      <w:snapToGrid w:val="0"/>
                      <w:color w:val="auto"/>
                      <w:w w:val="100"/>
                      <w:sz w:val="21"/>
                      <w:szCs w:val="21"/>
                      <w:highlight w:val="none"/>
                    </w:rPr>
                  </w:pPr>
                  <w:r>
                    <w:rPr>
                      <w:rFonts w:hint="eastAsia" w:ascii="Times New Roman" w:hAnsi="Times New Roman"/>
                      <w:caps w:val="0"/>
                      <w:smallCaps w:val="0"/>
                      <w:color w:val="auto"/>
                      <w:w w:val="100"/>
                      <w:sz w:val="21"/>
                      <w:szCs w:val="21"/>
                      <w:highlight w:val="none"/>
                    </w:rPr>
                    <w:fldChar w:fldCharType="begin"/>
                  </w:r>
                  <w:r>
                    <w:rPr>
                      <w:rFonts w:hint="eastAsia" w:ascii="Times New Roman" w:hAnsi="Times New Roman"/>
                      <w:caps w:val="0"/>
                      <w:smallCaps w:val="0"/>
                      <w:color w:val="auto"/>
                      <w:w w:val="100"/>
                      <w:sz w:val="21"/>
                      <w:szCs w:val="21"/>
                      <w:highlight w:val="none"/>
                    </w:rPr>
                    <w:instrText xml:space="preserve"> = 2 \* ROMAN \* MERGEFORMAT </w:instrText>
                  </w:r>
                  <w:r>
                    <w:rPr>
                      <w:rFonts w:hint="eastAsia" w:ascii="Times New Roman" w:hAnsi="Times New Roman"/>
                      <w:caps w:val="0"/>
                      <w:smallCaps w:val="0"/>
                      <w:color w:val="auto"/>
                      <w:w w:val="100"/>
                      <w:sz w:val="21"/>
                      <w:szCs w:val="21"/>
                      <w:highlight w:val="none"/>
                    </w:rPr>
                    <w:fldChar w:fldCharType="separate"/>
                  </w:r>
                  <w:r>
                    <w:rPr>
                      <w:rFonts w:ascii="Times New Roman" w:hAnsi="Times New Roman"/>
                      <w:caps w:val="0"/>
                      <w:smallCaps w:val="0"/>
                      <w:color w:val="auto"/>
                      <w:w w:val="100"/>
                      <w:sz w:val="21"/>
                      <w:szCs w:val="21"/>
                      <w:highlight w:val="none"/>
                    </w:rPr>
                    <w:t>II</w:t>
                  </w:r>
                  <w:r>
                    <w:rPr>
                      <w:rFonts w:hint="eastAsia" w:ascii="Times New Roman" w:hAnsi="Times New Roman"/>
                      <w:caps w:val="0"/>
                      <w:smallCaps w:val="0"/>
                      <w:color w:val="auto"/>
                      <w:w w:val="100"/>
                      <w:sz w:val="21"/>
                      <w:szCs w:val="21"/>
                      <w:highlight w:val="none"/>
                    </w:rPr>
                    <w:fldChar w:fldCharType="end"/>
                  </w:r>
                </w:p>
              </w:tc>
              <w:tc>
                <w:tcPr>
                  <w:tcW w:w="945" w:type="pct"/>
                  <w:noWrap w:val="0"/>
                  <w:vAlign w:val="center"/>
                </w:tcPr>
                <w:p>
                  <w:pPr>
                    <w:spacing w:line="360" w:lineRule="exact"/>
                    <w:jc w:val="center"/>
                    <w:rPr>
                      <w:rFonts w:ascii="Times New Roman" w:hAnsi="Times New Roman"/>
                      <w:caps w:val="0"/>
                      <w:smallCaps w:val="0"/>
                      <w:snapToGrid w:val="0"/>
                      <w:color w:val="auto"/>
                      <w:w w:val="100"/>
                      <w:sz w:val="21"/>
                      <w:szCs w:val="21"/>
                      <w:highlight w:val="none"/>
                    </w:rPr>
                  </w:pPr>
                  <w:r>
                    <w:rPr>
                      <w:rFonts w:hint="eastAsia" w:ascii="Times New Roman" w:hAnsi="Times New Roman"/>
                      <w:caps w:val="0"/>
                      <w:smallCaps w:val="0"/>
                      <w:color w:val="auto"/>
                      <w:w w:val="100"/>
                      <w:sz w:val="21"/>
                      <w:szCs w:val="21"/>
                      <w:highlight w:val="none"/>
                    </w:rPr>
                    <w:fldChar w:fldCharType="begin"/>
                  </w:r>
                  <w:r>
                    <w:rPr>
                      <w:rFonts w:hint="eastAsia" w:ascii="Times New Roman" w:hAnsi="Times New Roman"/>
                      <w:caps w:val="0"/>
                      <w:smallCaps w:val="0"/>
                      <w:color w:val="auto"/>
                      <w:w w:val="100"/>
                      <w:sz w:val="21"/>
                      <w:szCs w:val="21"/>
                      <w:highlight w:val="none"/>
                    </w:rPr>
                    <w:instrText xml:space="preserve"> = 1 \* ROMAN \* MERGEFORMAT </w:instrText>
                  </w:r>
                  <w:r>
                    <w:rPr>
                      <w:rFonts w:hint="eastAsia" w:ascii="Times New Roman" w:hAnsi="Times New Roman"/>
                      <w:caps w:val="0"/>
                      <w:smallCaps w:val="0"/>
                      <w:color w:val="auto"/>
                      <w:w w:val="100"/>
                      <w:sz w:val="21"/>
                      <w:szCs w:val="21"/>
                      <w:highlight w:val="none"/>
                    </w:rPr>
                    <w:fldChar w:fldCharType="separate"/>
                  </w:r>
                  <w:r>
                    <w:rPr>
                      <w:rFonts w:ascii="Times New Roman" w:hAnsi="Times New Roman"/>
                      <w:caps w:val="0"/>
                      <w:smallCaps w:val="0"/>
                      <w:color w:val="auto"/>
                      <w:w w:val="100"/>
                      <w:sz w:val="21"/>
                      <w:szCs w:val="21"/>
                      <w:highlight w:val="none"/>
                    </w:rPr>
                    <w:t>I</w:t>
                  </w:r>
                  <w:r>
                    <w:rPr>
                      <w:rFonts w:hint="eastAsia" w:ascii="Times New Roman" w:hAnsi="Times New Roman"/>
                      <w:caps w:val="0"/>
                      <w:smallCaps w:val="0"/>
                      <w:color w:val="auto"/>
                      <w:w w:val="100"/>
                      <w:sz w:val="21"/>
                      <w:szCs w:val="21"/>
                      <w:highlight w:val="none"/>
                    </w:rPr>
                    <w:fldChar w:fldCharType="end"/>
                  </w:r>
                </w:p>
              </w:tc>
            </w:tr>
            <w:tr>
              <w:tblPrEx>
                <w:tblBorders>
                  <w:top w:val="single" w:color="000000" w:sz="12" w:space="0"/>
                  <w:left w:val="single" w:color="auto" w:sz="12" w:space="0"/>
                  <w:bottom w:val="single" w:color="000000"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863" w:type="pct"/>
                  <w:noWrap w:val="0"/>
                  <w:vAlign w:val="center"/>
                </w:tcPr>
                <w:p>
                  <w:pPr>
                    <w:spacing w:line="360" w:lineRule="exact"/>
                    <w:jc w:val="center"/>
                    <w:rPr>
                      <w:rFonts w:hint="eastAsia" w:ascii="Times New Roman" w:hAnsi="Times New Roman"/>
                      <w:caps w:val="0"/>
                      <w:smallCaps w:val="0"/>
                      <w:snapToGrid w:val="0"/>
                      <w:color w:val="auto"/>
                      <w:w w:val="100"/>
                      <w:sz w:val="21"/>
                      <w:szCs w:val="21"/>
                      <w:highlight w:val="none"/>
                    </w:rPr>
                  </w:pPr>
                  <w:r>
                    <w:rPr>
                      <w:rFonts w:hint="eastAsia" w:ascii="Times New Roman" w:hAnsi="Times New Roman"/>
                      <w:caps w:val="0"/>
                      <w:smallCaps w:val="0"/>
                      <w:snapToGrid w:val="0"/>
                      <w:color w:val="auto"/>
                      <w:w w:val="100"/>
                      <w:sz w:val="21"/>
                      <w:szCs w:val="21"/>
                      <w:highlight w:val="none"/>
                    </w:rPr>
                    <w:t>评价工作等级</w:t>
                  </w:r>
                </w:p>
              </w:tc>
              <w:tc>
                <w:tcPr>
                  <w:tcW w:w="941" w:type="pct"/>
                  <w:noWrap w:val="0"/>
                  <w:vAlign w:val="center"/>
                </w:tcPr>
                <w:p>
                  <w:pPr>
                    <w:spacing w:line="360" w:lineRule="exact"/>
                    <w:jc w:val="center"/>
                    <w:rPr>
                      <w:rFonts w:hint="eastAsia" w:ascii="Times New Roman" w:hAnsi="Times New Roman"/>
                      <w:caps w:val="0"/>
                      <w:smallCaps w:val="0"/>
                      <w:snapToGrid w:val="0"/>
                      <w:color w:val="auto"/>
                      <w:w w:val="100"/>
                      <w:sz w:val="21"/>
                      <w:szCs w:val="21"/>
                      <w:highlight w:val="none"/>
                    </w:rPr>
                  </w:pPr>
                  <w:r>
                    <w:rPr>
                      <w:rFonts w:hint="eastAsia" w:ascii="Times New Roman" w:hAnsi="Times New Roman"/>
                      <w:caps w:val="0"/>
                      <w:smallCaps w:val="0"/>
                      <w:snapToGrid w:val="0"/>
                      <w:color w:val="auto"/>
                      <w:w w:val="100"/>
                      <w:sz w:val="21"/>
                      <w:szCs w:val="21"/>
                      <w:highlight w:val="none"/>
                    </w:rPr>
                    <w:t>一</w:t>
                  </w:r>
                </w:p>
              </w:tc>
              <w:tc>
                <w:tcPr>
                  <w:tcW w:w="1038" w:type="pct"/>
                  <w:noWrap w:val="0"/>
                  <w:vAlign w:val="center"/>
                </w:tcPr>
                <w:p>
                  <w:pPr>
                    <w:spacing w:line="360" w:lineRule="exact"/>
                    <w:jc w:val="center"/>
                    <w:rPr>
                      <w:rFonts w:hint="eastAsia" w:ascii="Times New Roman" w:hAnsi="Times New Roman"/>
                      <w:caps w:val="0"/>
                      <w:smallCaps w:val="0"/>
                      <w:snapToGrid w:val="0"/>
                      <w:color w:val="auto"/>
                      <w:w w:val="100"/>
                      <w:sz w:val="21"/>
                      <w:szCs w:val="21"/>
                      <w:highlight w:val="none"/>
                    </w:rPr>
                  </w:pPr>
                  <w:r>
                    <w:rPr>
                      <w:rFonts w:hint="eastAsia" w:ascii="Times New Roman" w:hAnsi="Times New Roman"/>
                      <w:caps w:val="0"/>
                      <w:smallCaps w:val="0"/>
                      <w:snapToGrid w:val="0"/>
                      <w:color w:val="auto"/>
                      <w:w w:val="100"/>
                      <w:sz w:val="21"/>
                      <w:szCs w:val="21"/>
                      <w:highlight w:val="none"/>
                    </w:rPr>
                    <w:t>二</w:t>
                  </w:r>
                </w:p>
              </w:tc>
              <w:tc>
                <w:tcPr>
                  <w:tcW w:w="1211" w:type="pct"/>
                  <w:noWrap w:val="0"/>
                  <w:vAlign w:val="center"/>
                </w:tcPr>
                <w:p>
                  <w:pPr>
                    <w:spacing w:line="360" w:lineRule="exact"/>
                    <w:jc w:val="center"/>
                    <w:rPr>
                      <w:rFonts w:hint="eastAsia" w:ascii="Times New Roman" w:hAnsi="Times New Roman"/>
                      <w:caps w:val="0"/>
                      <w:smallCaps w:val="0"/>
                      <w:snapToGrid w:val="0"/>
                      <w:color w:val="auto"/>
                      <w:w w:val="100"/>
                      <w:sz w:val="21"/>
                      <w:szCs w:val="21"/>
                      <w:highlight w:val="none"/>
                    </w:rPr>
                  </w:pPr>
                  <w:r>
                    <w:rPr>
                      <w:rFonts w:hint="eastAsia" w:ascii="Times New Roman" w:hAnsi="Times New Roman"/>
                      <w:caps w:val="0"/>
                      <w:smallCaps w:val="0"/>
                      <w:snapToGrid w:val="0"/>
                      <w:color w:val="auto"/>
                      <w:w w:val="100"/>
                      <w:sz w:val="21"/>
                      <w:szCs w:val="21"/>
                      <w:highlight w:val="none"/>
                    </w:rPr>
                    <w:t>三</w:t>
                  </w:r>
                </w:p>
              </w:tc>
              <w:tc>
                <w:tcPr>
                  <w:tcW w:w="945" w:type="pct"/>
                  <w:noWrap w:val="0"/>
                  <w:vAlign w:val="center"/>
                </w:tcPr>
                <w:p>
                  <w:pPr>
                    <w:spacing w:line="360" w:lineRule="exact"/>
                    <w:jc w:val="center"/>
                    <w:rPr>
                      <w:rFonts w:hint="eastAsia" w:ascii="Times New Roman" w:hAnsi="Times New Roman"/>
                      <w:caps w:val="0"/>
                      <w:smallCaps w:val="0"/>
                      <w:snapToGrid w:val="0"/>
                      <w:color w:val="auto"/>
                      <w:w w:val="100"/>
                      <w:sz w:val="21"/>
                      <w:szCs w:val="21"/>
                      <w:highlight w:val="none"/>
                    </w:rPr>
                  </w:pPr>
                  <w:r>
                    <w:rPr>
                      <w:rFonts w:hint="eastAsia" w:ascii="Times New Roman" w:hAnsi="Times New Roman"/>
                      <w:caps w:val="0"/>
                      <w:smallCaps w:val="0"/>
                      <w:snapToGrid w:val="0"/>
                      <w:color w:val="auto"/>
                      <w:w w:val="100"/>
                      <w:sz w:val="21"/>
                      <w:szCs w:val="21"/>
                      <w:highlight w:val="none"/>
                    </w:rPr>
                    <w:t>简单分析</w:t>
                  </w:r>
                  <w:r>
                    <w:rPr>
                      <w:rFonts w:hint="eastAsia" w:ascii="Times New Roman" w:hAnsi="Times New Roman"/>
                      <w:caps w:val="0"/>
                      <w:smallCaps w:val="0"/>
                      <w:snapToGrid w:val="0"/>
                      <w:color w:val="auto"/>
                      <w:w w:val="100"/>
                      <w:sz w:val="21"/>
                      <w:szCs w:val="21"/>
                      <w:highlight w:val="none"/>
                      <w:vertAlign w:val="superscript"/>
                    </w:rPr>
                    <w:t>a</w:t>
                  </w:r>
                </w:p>
              </w:tc>
            </w:tr>
            <w:tr>
              <w:tblPrEx>
                <w:tblBorders>
                  <w:top w:val="single" w:color="000000" w:sz="12" w:space="0"/>
                  <w:left w:val="single" w:color="auto" w:sz="12" w:space="0"/>
                  <w:bottom w:val="single" w:color="000000"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5000" w:type="pct"/>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caps w:val="0"/>
                      <w:smallCaps w:val="0"/>
                      <w:snapToGrid w:val="0"/>
                      <w:color w:val="auto"/>
                      <w:w w:val="100"/>
                      <w:sz w:val="21"/>
                      <w:szCs w:val="21"/>
                      <w:highlight w:val="none"/>
                    </w:rPr>
                  </w:pPr>
                  <w:r>
                    <w:rPr>
                      <w:rFonts w:hint="eastAsia" w:ascii="Times New Roman" w:hAnsi="Times New Roman"/>
                      <w:caps w:val="0"/>
                      <w:smallCaps w:val="0"/>
                      <w:snapToGrid w:val="0"/>
                      <w:color w:val="auto"/>
                      <w:w w:val="100"/>
                      <w:sz w:val="21"/>
                      <w:szCs w:val="21"/>
                      <w:highlight w:val="none"/>
                      <w:vertAlign w:val="superscript"/>
                    </w:rPr>
                    <w:t>a</w:t>
                  </w:r>
                  <w:r>
                    <w:rPr>
                      <w:rFonts w:hint="eastAsia" w:ascii="Times New Roman" w:hAnsi="Times New Roman"/>
                      <w:caps w:val="0"/>
                      <w:smallCaps w:val="0"/>
                      <w:snapToGrid w:val="0"/>
                      <w:color w:val="auto"/>
                      <w:w w:val="100"/>
                      <w:sz w:val="21"/>
                      <w:szCs w:val="21"/>
                      <w:highlight w:val="none"/>
                    </w:rPr>
                    <w:t>是相对于详细评价工作内容而言，在描述危险物质、环境影响途径、环境危害后果、风险防范措施等方面给出定性的说明、见附录A。</w:t>
                  </w:r>
                </w:p>
              </w:tc>
            </w:tr>
          </w:tbl>
          <w:p>
            <w:pPr>
              <w:keepNext w:val="0"/>
              <w:keepLines w:val="0"/>
              <w:pageBreakBefore w:val="0"/>
              <w:widowControl w:val="0"/>
              <w:kinsoku/>
              <w:wordWrap/>
              <w:overflowPunct/>
              <w:topLinePunct w:val="0"/>
              <w:autoSpaceDE/>
              <w:autoSpaceDN/>
              <w:bidi w:val="0"/>
              <w:snapToGrid/>
              <w:spacing w:line="480" w:lineRule="exact"/>
              <w:ind w:firstLine="480" w:firstLineChars="200"/>
              <w:rPr>
                <w:rFonts w:hint="eastAsia" w:ascii="Times New Roman" w:hAnsi="Times New Roman"/>
                <w:caps w:val="0"/>
                <w:smallCaps w:val="0"/>
                <w:color w:val="auto"/>
                <w:w w:val="100"/>
                <w:sz w:val="24"/>
                <w:szCs w:val="24"/>
                <w:highlight w:val="none"/>
                <w:lang w:val="en-US" w:eastAsia="zh-CN"/>
              </w:rPr>
            </w:pPr>
            <w:r>
              <w:rPr>
                <w:rFonts w:hint="eastAsia" w:ascii="Times New Roman" w:hAnsi="Times New Roman"/>
                <w:caps w:val="0"/>
                <w:smallCaps w:val="0"/>
                <w:color w:val="auto"/>
                <w:w w:val="100"/>
                <w:sz w:val="24"/>
                <w:szCs w:val="24"/>
                <w:highlight w:val="none"/>
                <w:lang w:eastAsia="zh-CN"/>
              </w:rPr>
              <w:t xml:space="preserve">根据计算及《建设项目环境风险评价技术导则》（HJ 169-2018）附录 B、C，突发环境事件风险物质及临界量见表 </w:t>
            </w:r>
            <w:r>
              <w:rPr>
                <w:rFonts w:hint="eastAsia"/>
                <w:caps w:val="0"/>
                <w:smallCaps w:val="0"/>
                <w:color w:val="auto"/>
                <w:w w:val="100"/>
                <w:sz w:val="24"/>
                <w:szCs w:val="24"/>
                <w:highlight w:val="none"/>
                <w:lang w:val="en-US" w:eastAsia="zh-CN"/>
              </w:rPr>
              <w:t>39</w:t>
            </w:r>
            <w:r>
              <w:rPr>
                <w:rFonts w:hint="eastAsia" w:ascii="Times New Roman" w:hAnsi="Times New Roman"/>
                <w:caps w:val="0"/>
                <w:smallCaps w:val="0"/>
                <w:color w:val="auto"/>
                <w:w w:val="100"/>
                <w:sz w:val="24"/>
                <w:szCs w:val="24"/>
                <w:highlight w:val="none"/>
                <w:lang w:val="en-US" w:eastAsia="zh-CN"/>
              </w:rPr>
              <w:t>。</w:t>
            </w:r>
          </w:p>
          <w:p>
            <w:pPr>
              <w:pStyle w:val="7"/>
              <w:keepNext w:val="0"/>
              <w:keepLines w:val="0"/>
              <w:pageBreakBefore w:val="0"/>
              <w:widowControl w:val="0"/>
              <w:kinsoku/>
              <w:wordWrap/>
              <w:overflowPunct/>
              <w:topLinePunct w:val="0"/>
              <w:autoSpaceDE/>
              <w:autoSpaceDN/>
              <w:bidi w:val="0"/>
              <w:snapToGrid/>
              <w:spacing w:line="480" w:lineRule="exact"/>
              <w:rPr>
                <w:rFonts w:hint="default" w:ascii="Times New Roman" w:hAnsi="Times New Roman"/>
                <w:caps w:val="0"/>
                <w:smallCaps w:val="0"/>
                <w:color w:val="auto"/>
                <w:w w:val="100"/>
                <w:sz w:val="24"/>
                <w:szCs w:val="24"/>
                <w:highlight w:val="none"/>
                <w:lang w:val="en-US" w:eastAsia="zh-CN"/>
              </w:rPr>
            </w:pPr>
            <w:r>
              <w:rPr>
                <w:rFonts w:hint="eastAsia" w:ascii="Times New Roman" w:hAnsi="Times New Roman"/>
                <w:caps w:val="0"/>
                <w:smallCaps w:val="0"/>
                <w:color w:val="auto"/>
                <w:w w:val="100"/>
                <w:sz w:val="24"/>
                <w:szCs w:val="24"/>
                <w:highlight w:val="none"/>
                <w:lang w:val="en-US" w:eastAsia="zh-CN"/>
              </w:rPr>
              <w:t>本项目涉及的危险物质主要为</w:t>
            </w:r>
            <w:r>
              <w:rPr>
                <w:rFonts w:hint="eastAsia"/>
                <w:caps w:val="0"/>
                <w:smallCaps w:val="0"/>
                <w:color w:val="auto"/>
                <w:w w:val="100"/>
                <w:sz w:val="24"/>
                <w:szCs w:val="24"/>
                <w:highlight w:val="none"/>
                <w:lang w:val="en-US" w:eastAsia="zh-CN"/>
              </w:rPr>
              <w:t>丙烷、</w:t>
            </w:r>
            <w:r>
              <w:rPr>
                <w:rFonts w:hint="eastAsia" w:ascii="Times New Roman" w:hAnsi="Times New Roman"/>
                <w:color w:val="auto"/>
                <w:w w:val="100"/>
                <w:sz w:val="24"/>
                <w:szCs w:val="24"/>
                <w:highlight w:val="none"/>
                <w:lang w:val="en-US" w:eastAsia="zh-CN"/>
              </w:rPr>
              <w:t>润滑油、</w:t>
            </w:r>
            <w:r>
              <w:rPr>
                <w:rFonts w:hint="eastAsia"/>
                <w:color w:val="auto"/>
                <w:w w:val="100"/>
                <w:sz w:val="24"/>
                <w:szCs w:val="24"/>
                <w:highlight w:val="none"/>
                <w:lang w:val="en-US" w:eastAsia="zh-CN"/>
              </w:rPr>
              <w:t>液压</w:t>
            </w:r>
            <w:r>
              <w:rPr>
                <w:rFonts w:hint="eastAsia" w:ascii="Times New Roman" w:hAnsi="Times New Roman"/>
                <w:color w:val="auto"/>
                <w:w w:val="100"/>
                <w:sz w:val="24"/>
                <w:szCs w:val="24"/>
                <w:highlight w:val="none"/>
                <w:lang w:val="en-US" w:eastAsia="zh-CN"/>
              </w:rPr>
              <w:t>油、</w:t>
            </w:r>
            <w:r>
              <w:rPr>
                <w:rFonts w:hint="eastAsia"/>
                <w:color w:val="auto"/>
                <w:w w:val="100"/>
                <w:sz w:val="24"/>
                <w:szCs w:val="24"/>
                <w:highlight w:val="none"/>
                <w:lang w:val="en-US" w:eastAsia="zh-CN"/>
              </w:rPr>
              <w:t>切削液、</w:t>
            </w:r>
            <w:r>
              <w:rPr>
                <w:rFonts w:hint="eastAsia" w:ascii="Times New Roman" w:hAnsi="Times New Roman"/>
                <w:color w:val="auto"/>
                <w:w w:val="100"/>
                <w:sz w:val="24"/>
                <w:szCs w:val="24"/>
                <w:highlight w:val="none"/>
                <w:lang w:val="en-US" w:eastAsia="zh-CN"/>
              </w:rPr>
              <w:t>废润滑油、废</w:t>
            </w:r>
            <w:r>
              <w:rPr>
                <w:rFonts w:hint="eastAsia"/>
                <w:color w:val="auto"/>
                <w:w w:val="100"/>
                <w:sz w:val="24"/>
                <w:szCs w:val="24"/>
                <w:highlight w:val="none"/>
                <w:lang w:val="en-US" w:eastAsia="zh-CN"/>
              </w:rPr>
              <w:t>液压</w:t>
            </w:r>
            <w:r>
              <w:rPr>
                <w:rFonts w:hint="eastAsia" w:ascii="Times New Roman" w:hAnsi="Times New Roman"/>
                <w:color w:val="auto"/>
                <w:w w:val="100"/>
                <w:sz w:val="24"/>
                <w:szCs w:val="24"/>
                <w:highlight w:val="none"/>
                <w:lang w:val="en-US" w:eastAsia="zh-CN"/>
              </w:rPr>
              <w:t>油</w:t>
            </w:r>
            <w:r>
              <w:rPr>
                <w:rFonts w:hint="eastAsia"/>
                <w:color w:val="auto"/>
                <w:w w:val="100"/>
                <w:sz w:val="24"/>
                <w:szCs w:val="24"/>
                <w:highlight w:val="none"/>
                <w:lang w:val="en-US" w:eastAsia="zh-CN"/>
              </w:rPr>
              <w:t>、废切削液</w:t>
            </w:r>
            <w:r>
              <w:rPr>
                <w:rFonts w:hint="eastAsia" w:ascii="Times New Roman" w:hAnsi="Times New Roman"/>
                <w:caps w:val="0"/>
                <w:smallCaps w:val="0"/>
                <w:color w:val="auto"/>
                <w:w w:val="100"/>
                <w:sz w:val="24"/>
                <w:szCs w:val="24"/>
                <w:highlight w:val="none"/>
                <w:lang w:val="en-US" w:eastAsia="zh-CN"/>
              </w:rPr>
              <w:t>，根据《建设项目环境风险评价技术导则（发布稿）》（HJ169-2018）中附录B表B.1突发环境事件风险物质及临界量表可知，临界量为2500t。</w:t>
            </w:r>
          </w:p>
          <w:p>
            <w:pPr>
              <w:pStyle w:val="39"/>
              <w:keepNext w:val="0"/>
              <w:keepLines w:val="0"/>
              <w:pageBreakBefore w:val="0"/>
              <w:widowControl w:val="0"/>
              <w:kinsoku/>
              <w:wordWrap/>
              <w:overflowPunct/>
              <w:topLinePunct w:val="0"/>
              <w:autoSpaceDE/>
              <w:autoSpaceDN/>
              <w:bidi w:val="0"/>
              <w:snapToGrid/>
              <w:spacing w:after="0" w:line="480" w:lineRule="exact"/>
              <w:ind w:firstLine="480" w:firstLineChars="200"/>
              <w:jc w:val="left"/>
              <w:rPr>
                <w:rFonts w:hint="eastAsia" w:ascii="Times New Roman" w:hAnsi="Times New Roman" w:eastAsia="宋体"/>
                <w:b w:val="0"/>
                <w:caps w:val="0"/>
                <w:smallCaps w:val="0"/>
                <w:color w:val="auto"/>
                <w:w w:val="100"/>
                <w:sz w:val="24"/>
                <w:szCs w:val="24"/>
                <w:highlight w:val="none"/>
                <w:lang w:val="en-US" w:eastAsia="zh-CN"/>
              </w:rPr>
            </w:pPr>
            <w:r>
              <w:rPr>
                <w:rFonts w:hint="eastAsia" w:ascii="Times New Roman" w:hAnsi="Times New Roman" w:eastAsia="宋体"/>
                <w:b w:val="0"/>
                <w:caps w:val="0"/>
                <w:smallCaps w:val="0"/>
                <w:color w:val="auto"/>
                <w:w w:val="100"/>
                <w:sz w:val="24"/>
                <w:szCs w:val="24"/>
                <w:highlight w:val="none"/>
                <w:lang w:val="en-US" w:eastAsia="zh-CN"/>
              </w:rPr>
              <w:t>根据附录 C(规范性附录)计算所涉及的每种危险物质在厂界内的最大存在总量与其在附录 B 中对应临界量的比值 Q。公式如下：</w:t>
            </w:r>
          </w:p>
          <w:p>
            <w:pPr>
              <w:pStyle w:val="39"/>
              <w:keepNext w:val="0"/>
              <w:keepLines w:val="0"/>
              <w:pageBreakBefore w:val="0"/>
              <w:widowControl w:val="0"/>
              <w:kinsoku/>
              <w:wordWrap/>
              <w:overflowPunct/>
              <w:topLinePunct w:val="0"/>
              <w:autoSpaceDE/>
              <w:autoSpaceDN/>
              <w:bidi w:val="0"/>
              <w:snapToGrid/>
              <w:spacing w:after="0" w:line="480" w:lineRule="exact"/>
              <w:ind w:firstLine="480" w:firstLineChars="200"/>
              <w:jc w:val="left"/>
              <w:rPr>
                <w:rFonts w:hint="eastAsia" w:ascii="Times New Roman" w:hAnsi="Times New Roman" w:eastAsia="宋体"/>
                <w:b w:val="0"/>
                <w:caps w:val="0"/>
                <w:smallCaps w:val="0"/>
                <w:color w:val="auto"/>
                <w:w w:val="100"/>
                <w:sz w:val="24"/>
                <w:szCs w:val="24"/>
                <w:highlight w:val="none"/>
                <w:lang w:val="en-US" w:eastAsia="zh-CN"/>
              </w:rPr>
            </w:pPr>
            <w:r>
              <w:rPr>
                <w:rFonts w:hint="eastAsia" w:ascii="Times New Roman" w:hAnsi="Times New Roman" w:eastAsia="宋体"/>
                <w:b w:val="0"/>
                <w:caps w:val="0"/>
                <w:smallCaps w:val="0"/>
                <w:color w:val="auto"/>
                <w:w w:val="100"/>
                <w:sz w:val="24"/>
                <w:szCs w:val="24"/>
                <w:highlight w:val="none"/>
                <w:lang w:val="en-US" w:eastAsia="zh-CN"/>
              </w:rPr>
              <w:t>Q=q 1 /Q 1 +q 2 /Q 2 +……+q n /Q n</w:t>
            </w:r>
          </w:p>
          <w:p>
            <w:pPr>
              <w:pStyle w:val="39"/>
              <w:keepNext w:val="0"/>
              <w:keepLines w:val="0"/>
              <w:pageBreakBefore w:val="0"/>
              <w:widowControl w:val="0"/>
              <w:kinsoku/>
              <w:wordWrap/>
              <w:overflowPunct/>
              <w:topLinePunct w:val="0"/>
              <w:autoSpaceDE/>
              <w:autoSpaceDN/>
              <w:bidi w:val="0"/>
              <w:snapToGrid/>
              <w:spacing w:after="0" w:line="480" w:lineRule="exact"/>
              <w:jc w:val="both"/>
              <w:rPr>
                <w:rFonts w:hint="eastAsia" w:ascii="Times New Roman" w:hAnsi="Times New Roman" w:eastAsia="宋体"/>
                <w:b w:val="0"/>
                <w:caps w:val="0"/>
                <w:smallCaps w:val="0"/>
                <w:color w:val="auto"/>
                <w:w w:val="100"/>
                <w:sz w:val="24"/>
                <w:szCs w:val="24"/>
                <w:highlight w:val="none"/>
                <w:lang w:val="en-US" w:eastAsia="zh-CN"/>
              </w:rPr>
            </w:pPr>
            <w:r>
              <w:rPr>
                <w:rFonts w:hint="eastAsia" w:ascii="Times New Roman" w:hAnsi="Times New Roman" w:eastAsia="宋体"/>
                <w:b w:val="0"/>
                <w:caps w:val="0"/>
                <w:smallCaps w:val="0"/>
                <w:color w:val="auto"/>
                <w:w w:val="100"/>
                <w:sz w:val="24"/>
                <w:szCs w:val="24"/>
                <w:highlight w:val="none"/>
                <w:lang w:val="en-US" w:eastAsia="zh-CN"/>
              </w:rPr>
              <w:t>式中：q 1、q 2 ……q n ——每种危险物质的最大存在总量，t。</w:t>
            </w:r>
          </w:p>
          <w:p>
            <w:pPr>
              <w:pStyle w:val="39"/>
              <w:keepNext w:val="0"/>
              <w:keepLines w:val="0"/>
              <w:pageBreakBefore w:val="0"/>
              <w:widowControl w:val="0"/>
              <w:kinsoku/>
              <w:wordWrap/>
              <w:overflowPunct/>
              <w:topLinePunct w:val="0"/>
              <w:autoSpaceDE/>
              <w:autoSpaceDN/>
              <w:bidi w:val="0"/>
              <w:snapToGrid/>
              <w:spacing w:after="0" w:line="480" w:lineRule="exact"/>
              <w:ind w:firstLine="720" w:firstLineChars="300"/>
              <w:jc w:val="both"/>
              <w:rPr>
                <w:rFonts w:hint="eastAsia" w:ascii="Times New Roman" w:hAnsi="Times New Roman" w:eastAsia="宋体"/>
                <w:b w:val="0"/>
                <w:caps w:val="0"/>
                <w:smallCaps w:val="0"/>
                <w:color w:val="auto"/>
                <w:w w:val="100"/>
                <w:sz w:val="24"/>
                <w:szCs w:val="24"/>
                <w:highlight w:val="none"/>
                <w:lang w:val="en-US" w:eastAsia="zh-CN"/>
              </w:rPr>
            </w:pPr>
            <w:r>
              <w:rPr>
                <w:rFonts w:hint="eastAsia" w:ascii="Times New Roman" w:hAnsi="Times New Roman" w:eastAsia="宋体"/>
                <w:b w:val="0"/>
                <w:caps w:val="0"/>
                <w:smallCaps w:val="0"/>
                <w:color w:val="auto"/>
                <w:w w:val="100"/>
                <w:sz w:val="24"/>
                <w:szCs w:val="24"/>
                <w:highlight w:val="none"/>
                <w:lang w:val="en-US" w:eastAsia="zh-CN"/>
              </w:rPr>
              <w:t>Q 1、Q 2 ……Q n ——每种危险物质的临界量，t。</w:t>
            </w:r>
          </w:p>
          <w:p>
            <w:pPr>
              <w:pStyle w:val="39"/>
              <w:keepNext w:val="0"/>
              <w:keepLines w:val="0"/>
              <w:pageBreakBefore w:val="0"/>
              <w:widowControl w:val="0"/>
              <w:kinsoku/>
              <w:wordWrap/>
              <w:overflowPunct/>
              <w:topLinePunct w:val="0"/>
              <w:autoSpaceDE/>
              <w:autoSpaceDN/>
              <w:bidi w:val="0"/>
              <w:snapToGrid/>
              <w:spacing w:after="0" w:line="480" w:lineRule="exact"/>
              <w:ind w:firstLine="480" w:firstLineChars="200"/>
              <w:jc w:val="both"/>
              <w:rPr>
                <w:rFonts w:hint="eastAsia" w:ascii="Times New Roman" w:hAnsi="Times New Roman" w:eastAsia="宋体"/>
                <w:b w:val="0"/>
                <w:caps w:val="0"/>
                <w:smallCaps w:val="0"/>
                <w:color w:val="auto"/>
                <w:w w:val="100"/>
                <w:sz w:val="24"/>
                <w:szCs w:val="24"/>
                <w:highlight w:val="none"/>
                <w:lang w:val="en-US" w:eastAsia="zh-CN"/>
              </w:rPr>
            </w:pPr>
            <w:r>
              <w:rPr>
                <w:rFonts w:hint="eastAsia" w:ascii="Times New Roman" w:hAnsi="Times New Roman" w:eastAsia="宋体"/>
                <w:b w:val="0"/>
                <w:caps w:val="0"/>
                <w:smallCaps w:val="0"/>
                <w:color w:val="auto"/>
                <w:w w:val="100"/>
                <w:sz w:val="24"/>
                <w:szCs w:val="24"/>
                <w:highlight w:val="none"/>
                <w:lang w:val="en-US" w:eastAsia="zh-CN"/>
              </w:rPr>
              <w:t>当 Q&lt;1 时，该项目环境风险潜势为 I 。</w:t>
            </w:r>
          </w:p>
          <w:p>
            <w:pPr>
              <w:pStyle w:val="39"/>
              <w:keepNext w:val="0"/>
              <w:keepLines w:val="0"/>
              <w:pageBreakBefore w:val="0"/>
              <w:widowControl w:val="0"/>
              <w:kinsoku/>
              <w:wordWrap/>
              <w:overflowPunct/>
              <w:topLinePunct w:val="0"/>
              <w:autoSpaceDE/>
              <w:autoSpaceDN/>
              <w:bidi w:val="0"/>
              <w:snapToGrid/>
              <w:spacing w:after="0" w:line="480" w:lineRule="exact"/>
              <w:ind w:firstLine="480" w:firstLineChars="200"/>
              <w:jc w:val="both"/>
              <w:rPr>
                <w:rFonts w:hint="eastAsia" w:ascii="Times New Roman" w:hAnsi="Times New Roman" w:eastAsia="宋体"/>
                <w:b w:val="0"/>
                <w:caps w:val="0"/>
                <w:smallCaps w:val="0"/>
                <w:color w:val="auto"/>
                <w:w w:val="100"/>
                <w:sz w:val="24"/>
                <w:szCs w:val="24"/>
                <w:highlight w:val="none"/>
                <w:lang w:val="en-US" w:eastAsia="zh-CN"/>
              </w:rPr>
            </w:pPr>
            <w:r>
              <w:rPr>
                <w:rFonts w:hint="eastAsia" w:ascii="Times New Roman" w:hAnsi="Times New Roman" w:eastAsia="宋体"/>
                <w:b w:val="0"/>
                <w:caps w:val="0"/>
                <w:smallCaps w:val="0"/>
                <w:color w:val="auto"/>
                <w:w w:val="100"/>
                <w:sz w:val="24"/>
                <w:szCs w:val="24"/>
                <w:highlight w:val="none"/>
                <w:lang w:val="en-US" w:eastAsia="zh-CN"/>
              </w:rPr>
              <w:t>当 Q≥1 时，将 Q 值划分为：</w:t>
            </w:r>
          </w:p>
          <w:p>
            <w:pPr>
              <w:pStyle w:val="39"/>
              <w:keepNext w:val="0"/>
              <w:keepLines w:val="0"/>
              <w:pageBreakBefore w:val="0"/>
              <w:widowControl w:val="0"/>
              <w:kinsoku/>
              <w:wordWrap/>
              <w:overflowPunct/>
              <w:topLinePunct w:val="0"/>
              <w:autoSpaceDE/>
              <w:autoSpaceDN/>
              <w:bidi w:val="0"/>
              <w:snapToGrid/>
              <w:spacing w:after="0" w:line="480" w:lineRule="exact"/>
              <w:ind w:firstLine="480" w:firstLineChars="200"/>
              <w:jc w:val="both"/>
              <w:rPr>
                <w:rFonts w:hint="eastAsia" w:ascii="Times New Roman" w:hAnsi="Times New Roman" w:eastAsia="宋体"/>
                <w:b w:val="0"/>
                <w:caps w:val="0"/>
                <w:smallCaps w:val="0"/>
                <w:color w:val="auto"/>
                <w:w w:val="100"/>
                <w:sz w:val="24"/>
                <w:szCs w:val="24"/>
                <w:highlight w:val="none"/>
                <w:lang w:val="en-US" w:eastAsia="zh-CN"/>
              </w:rPr>
            </w:pPr>
            <w:r>
              <w:rPr>
                <w:rFonts w:hint="eastAsia" w:ascii="Times New Roman" w:hAnsi="Times New Roman" w:eastAsia="宋体"/>
                <w:b w:val="0"/>
                <w:caps w:val="0"/>
                <w:smallCaps w:val="0"/>
                <w:color w:val="auto"/>
                <w:w w:val="100"/>
                <w:sz w:val="24"/>
                <w:szCs w:val="24"/>
                <w:highlight w:val="none"/>
                <w:lang w:val="en-US" w:eastAsia="zh-CN"/>
              </w:rPr>
              <w:t>（1）1≤Q&lt;10；（2）10≤Q&lt;100；（3）Q≥100。</w:t>
            </w:r>
          </w:p>
          <w:p>
            <w:pPr>
              <w:pStyle w:val="39"/>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Times New Roman" w:hAnsi="Times New Roman" w:eastAsia="黑体" w:cs="Courier New"/>
                <w:b w:val="0"/>
                <w:bCs/>
                <w:caps w:val="0"/>
                <w:smallCaps w:val="0"/>
                <w:color w:val="auto"/>
                <w:w w:val="100"/>
                <w:kern w:val="2"/>
                <w:sz w:val="24"/>
                <w:szCs w:val="24"/>
                <w:highlight w:val="none"/>
                <w:lang w:val="en-US" w:eastAsia="zh-CN" w:bidi="ar-SA"/>
              </w:rPr>
            </w:pPr>
          </w:p>
          <w:p>
            <w:pPr>
              <w:pStyle w:val="39"/>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Times New Roman" w:hAnsi="Times New Roman" w:eastAsia="黑体" w:cs="Courier New"/>
                <w:b w:val="0"/>
                <w:bCs/>
                <w:caps w:val="0"/>
                <w:smallCaps w:val="0"/>
                <w:color w:val="auto"/>
                <w:w w:val="100"/>
                <w:kern w:val="2"/>
                <w:sz w:val="24"/>
                <w:szCs w:val="24"/>
                <w:highlight w:val="none"/>
                <w:lang w:val="en-US" w:eastAsia="zh-CN" w:bidi="ar-SA"/>
              </w:rPr>
            </w:pPr>
          </w:p>
          <w:p>
            <w:pPr>
              <w:pStyle w:val="39"/>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Times New Roman" w:hAnsi="Times New Roman" w:eastAsia="黑体" w:cs="Courier New"/>
                <w:b w:val="0"/>
                <w:bCs/>
                <w:caps w:val="0"/>
                <w:smallCaps w:val="0"/>
                <w:color w:val="auto"/>
                <w:w w:val="100"/>
                <w:kern w:val="2"/>
                <w:sz w:val="24"/>
                <w:szCs w:val="24"/>
                <w:highlight w:val="none"/>
                <w:lang w:val="en-US" w:eastAsia="zh-CN" w:bidi="ar-SA"/>
              </w:rPr>
            </w:pPr>
          </w:p>
          <w:p>
            <w:pPr>
              <w:pStyle w:val="39"/>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Times New Roman" w:hAnsi="Times New Roman" w:eastAsia="黑体" w:cs="Courier New"/>
                <w:b w:val="0"/>
                <w:bCs/>
                <w:caps w:val="0"/>
                <w:smallCaps w:val="0"/>
                <w:color w:val="auto"/>
                <w:w w:val="100"/>
                <w:kern w:val="2"/>
                <w:sz w:val="24"/>
                <w:szCs w:val="24"/>
                <w:highlight w:val="none"/>
                <w:lang w:val="en-US" w:eastAsia="zh-CN" w:bidi="ar-SA"/>
              </w:rPr>
            </w:pPr>
          </w:p>
          <w:p>
            <w:pPr>
              <w:pStyle w:val="39"/>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Times New Roman" w:hAnsi="Times New Roman" w:eastAsia="黑体" w:cs="Courier New"/>
                <w:b w:val="0"/>
                <w:bCs/>
                <w:caps w:val="0"/>
                <w:smallCaps w:val="0"/>
                <w:color w:val="auto"/>
                <w:w w:val="100"/>
                <w:kern w:val="2"/>
                <w:sz w:val="24"/>
                <w:szCs w:val="24"/>
                <w:highlight w:val="none"/>
                <w:lang w:val="en-US" w:eastAsia="zh-CN" w:bidi="ar-SA"/>
              </w:rPr>
            </w:pPr>
            <w:r>
              <w:rPr>
                <w:rFonts w:hint="eastAsia" w:ascii="Times New Roman" w:hAnsi="Times New Roman" w:eastAsia="黑体" w:cs="Courier New"/>
                <w:b w:val="0"/>
                <w:bCs/>
                <w:caps w:val="0"/>
                <w:smallCaps w:val="0"/>
                <w:color w:val="auto"/>
                <w:w w:val="100"/>
                <w:kern w:val="2"/>
                <w:sz w:val="24"/>
                <w:szCs w:val="24"/>
                <w:highlight w:val="none"/>
                <w:lang w:val="en-US" w:eastAsia="zh-CN" w:bidi="ar-SA"/>
              </w:rPr>
              <w:t>表</w:t>
            </w:r>
            <w:r>
              <w:rPr>
                <w:rFonts w:hint="eastAsia" w:ascii="Times New Roman" w:hAnsi="Times New Roman" w:cs="Courier New"/>
                <w:b w:val="0"/>
                <w:bCs/>
                <w:caps w:val="0"/>
                <w:smallCaps w:val="0"/>
                <w:color w:val="auto"/>
                <w:w w:val="100"/>
                <w:kern w:val="2"/>
                <w:sz w:val="24"/>
                <w:szCs w:val="24"/>
                <w:highlight w:val="none"/>
                <w:lang w:val="en-US" w:eastAsia="zh-CN" w:bidi="ar-SA"/>
              </w:rPr>
              <w:t xml:space="preserve">39    </w:t>
            </w:r>
            <w:r>
              <w:rPr>
                <w:rFonts w:hint="eastAsia" w:ascii="Times New Roman" w:hAnsi="Times New Roman" w:eastAsia="黑体" w:cs="Courier New"/>
                <w:b w:val="0"/>
                <w:bCs/>
                <w:caps w:val="0"/>
                <w:smallCaps w:val="0"/>
                <w:color w:val="auto"/>
                <w:w w:val="100"/>
                <w:kern w:val="2"/>
                <w:sz w:val="24"/>
                <w:szCs w:val="24"/>
                <w:highlight w:val="none"/>
                <w:lang w:val="en-US" w:eastAsia="zh-CN" w:bidi="ar-SA"/>
              </w:rPr>
              <w:t>危险化学物质储存量及临界量</w:t>
            </w:r>
          </w:p>
          <w:tbl>
            <w:tblPr>
              <w:tblStyle w:val="32"/>
              <w:tblW w:w="4995"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0"/>
              <w:gridCol w:w="2095"/>
              <w:gridCol w:w="1523"/>
              <w:gridCol w:w="1526"/>
              <w:gridCol w:w="1524"/>
              <w:gridCol w:w="152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519" w:type="pct"/>
                  <w:noWrap w:val="0"/>
                  <w:vAlign w:val="center"/>
                </w:tcPr>
                <w:p>
                  <w:pPr>
                    <w:pStyle w:val="3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序号</w:t>
                  </w:r>
                </w:p>
              </w:tc>
              <w:tc>
                <w:tcPr>
                  <w:tcW w:w="1145" w:type="pct"/>
                  <w:noWrap w:val="0"/>
                  <w:vAlign w:val="center"/>
                </w:tcPr>
                <w:p>
                  <w:pPr>
                    <w:pStyle w:val="3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物质名称</w:t>
                  </w:r>
                </w:p>
              </w:tc>
              <w:tc>
                <w:tcPr>
                  <w:tcW w:w="832" w:type="pct"/>
                  <w:noWrap w:val="0"/>
                  <w:vAlign w:val="center"/>
                </w:tcPr>
                <w:p>
                  <w:pPr>
                    <w:pStyle w:val="3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最大储存量t</w:t>
                  </w:r>
                </w:p>
              </w:tc>
              <w:tc>
                <w:tcPr>
                  <w:tcW w:w="834" w:type="pct"/>
                  <w:noWrap w:val="0"/>
                  <w:vAlign w:val="center"/>
                </w:tcPr>
                <w:p>
                  <w:pPr>
                    <w:pStyle w:val="3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临界量t</w:t>
                  </w:r>
                </w:p>
              </w:tc>
              <w:tc>
                <w:tcPr>
                  <w:tcW w:w="833" w:type="pct"/>
                  <w:noWrap w:val="0"/>
                  <w:vAlign w:val="center"/>
                </w:tcPr>
                <w:p>
                  <w:pPr>
                    <w:pStyle w:val="3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CAS号</w:t>
                  </w:r>
                </w:p>
              </w:tc>
              <w:tc>
                <w:tcPr>
                  <w:tcW w:w="835" w:type="pct"/>
                  <w:noWrap w:val="0"/>
                  <w:vAlign w:val="center"/>
                </w:tcPr>
                <w:p>
                  <w:pPr>
                    <w:pStyle w:val="3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q/Q值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19"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1</w:t>
                  </w:r>
                </w:p>
              </w:tc>
              <w:tc>
                <w:tcPr>
                  <w:tcW w:w="1145"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润滑油</w:t>
                  </w:r>
                </w:p>
              </w:tc>
              <w:tc>
                <w:tcPr>
                  <w:tcW w:w="832"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1.0</w:t>
                  </w:r>
                </w:p>
              </w:tc>
              <w:tc>
                <w:tcPr>
                  <w:tcW w:w="834"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2500</w:t>
                  </w:r>
                </w:p>
              </w:tc>
              <w:tc>
                <w:tcPr>
                  <w:tcW w:w="833"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1528" w:type="dxa"/>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0.0004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19"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2</w:t>
                  </w:r>
                </w:p>
              </w:tc>
              <w:tc>
                <w:tcPr>
                  <w:tcW w:w="1145"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color w:val="auto"/>
                      <w:w w:val="100"/>
                      <w:sz w:val="21"/>
                      <w:szCs w:val="21"/>
                      <w:highlight w:val="none"/>
                      <w:lang w:val="en-US" w:eastAsia="zh-CN"/>
                    </w:rPr>
                    <w:t>液压</w:t>
                  </w:r>
                  <w:r>
                    <w:rPr>
                      <w:rFonts w:hint="eastAsia" w:ascii="Times New Roman" w:hAnsi="Times New Roman"/>
                      <w:color w:val="auto"/>
                      <w:w w:val="100"/>
                      <w:sz w:val="21"/>
                      <w:szCs w:val="21"/>
                      <w:highlight w:val="none"/>
                      <w:lang w:val="en-US" w:eastAsia="zh-CN"/>
                    </w:rPr>
                    <w:t>油</w:t>
                  </w:r>
                </w:p>
              </w:tc>
              <w:tc>
                <w:tcPr>
                  <w:tcW w:w="832"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1.0</w:t>
                  </w:r>
                </w:p>
              </w:tc>
              <w:tc>
                <w:tcPr>
                  <w:tcW w:w="834"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2500</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1528" w:type="dxa"/>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0.0004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19"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3</w:t>
                  </w:r>
                </w:p>
              </w:tc>
              <w:tc>
                <w:tcPr>
                  <w:tcW w:w="1145"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color w:val="auto"/>
                      <w:w w:val="100"/>
                      <w:sz w:val="21"/>
                      <w:szCs w:val="21"/>
                      <w:highlight w:val="none"/>
                      <w:lang w:val="en-US" w:eastAsia="zh-CN"/>
                    </w:rPr>
                    <w:t>切削液</w:t>
                  </w:r>
                </w:p>
              </w:tc>
              <w:tc>
                <w:tcPr>
                  <w:tcW w:w="832"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0.2</w:t>
                  </w:r>
                </w:p>
              </w:tc>
              <w:tc>
                <w:tcPr>
                  <w:tcW w:w="834"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b w:val="0"/>
                      <w:bCs/>
                      <w:caps w:val="0"/>
                      <w:smallCaps w:val="0"/>
                      <w:color w:val="auto"/>
                      <w:w w:val="100"/>
                      <w:sz w:val="21"/>
                      <w:szCs w:val="21"/>
                      <w:highlight w:val="none"/>
                      <w:vertAlign w:val="baseline"/>
                      <w:lang w:val="en-US" w:eastAsia="zh-CN"/>
                    </w:rPr>
                    <w:t>200</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1528" w:type="dxa"/>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0.001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19"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4</w:t>
                  </w:r>
                </w:p>
              </w:tc>
              <w:tc>
                <w:tcPr>
                  <w:tcW w:w="1145"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color w:val="auto"/>
                      <w:w w:val="100"/>
                      <w:sz w:val="21"/>
                      <w:szCs w:val="21"/>
                      <w:highlight w:val="none"/>
                      <w:lang w:val="en-US" w:eastAsia="zh-CN"/>
                    </w:rPr>
                    <w:t>废润滑油</w:t>
                  </w:r>
                </w:p>
              </w:tc>
              <w:tc>
                <w:tcPr>
                  <w:tcW w:w="832"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0.2</w:t>
                  </w:r>
                </w:p>
              </w:tc>
              <w:tc>
                <w:tcPr>
                  <w:tcW w:w="834"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2500</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1528" w:type="dxa"/>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0.00008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19"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5</w:t>
                  </w:r>
                </w:p>
              </w:tc>
              <w:tc>
                <w:tcPr>
                  <w:tcW w:w="1145"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color w:val="auto"/>
                      <w:w w:val="100"/>
                      <w:sz w:val="21"/>
                      <w:szCs w:val="21"/>
                      <w:highlight w:val="none"/>
                      <w:lang w:val="en-US" w:eastAsia="zh-CN"/>
                    </w:rPr>
                    <w:t>废</w:t>
                  </w:r>
                  <w:r>
                    <w:rPr>
                      <w:rFonts w:hint="eastAsia"/>
                      <w:color w:val="auto"/>
                      <w:w w:val="100"/>
                      <w:sz w:val="21"/>
                      <w:szCs w:val="21"/>
                      <w:highlight w:val="none"/>
                      <w:lang w:val="en-US" w:eastAsia="zh-CN"/>
                    </w:rPr>
                    <w:t>液压</w:t>
                  </w:r>
                  <w:r>
                    <w:rPr>
                      <w:rFonts w:hint="eastAsia" w:ascii="Times New Roman" w:hAnsi="Times New Roman"/>
                      <w:color w:val="auto"/>
                      <w:w w:val="100"/>
                      <w:sz w:val="21"/>
                      <w:szCs w:val="21"/>
                      <w:highlight w:val="none"/>
                      <w:lang w:val="en-US" w:eastAsia="zh-CN"/>
                    </w:rPr>
                    <w:t>油</w:t>
                  </w:r>
                </w:p>
              </w:tc>
              <w:tc>
                <w:tcPr>
                  <w:tcW w:w="832"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0.2</w:t>
                  </w:r>
                </w:p>
              </w:tc>
              <w:tc>
                <w:tcPr>
                  <w:tcW w:w="834"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2500</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1528" w:type="dxa"/>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0.00008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19"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6</w:t>
                  </w:r>
                </w:p>
              </w:tc>
              <w:tc>
                <w:tcPr>
                  <w:tcW w:w="1145"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color w:val="auto"/>
                      <w:w w:val="100"/>
                      <w:sz w:val="21"/>
                      <w:szCs w:val="21"/>
                      <w:highlight w:val="none"/>
                      <w:lang w:val="en-US" w:eastAsia="zh-CN"/>
                    </w:rPr>
                    <w:t>废切削液</w:t>
                  </w:r>
                </w:p>
              </w:tc>
              <w:tc>
                <w:tcPr>
                  <w:tcW w:w="832"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4.0</w:t>
                  </w:r>
                </w:p>
              </w:tc>
              <w:tc>
                <w:tcPr>
                  <w:tcW w:w="834"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b w:val="0"/>
                      <w:bCs/>
                      <w:caps w:val="0"/>
                      <w:smallCaps w:val="0"/>
                      <w:color w:val="auto"/>
                      <w:w w:val="100"/>
                      <w:sz w:val="21"/>
                      <w:szCs w:val="21"/>
                      <w:highlight w:val="none"/>
                      <w:vertAlign w:val="baseline"/>
                      <w:lang w:val="en-US" w:eastAsia="zh-CN"/>
                    </w:rPr>
                    <w:t>200</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1528" w:type="dxa"/>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19"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7</w:t>
                  </w:r>
                </w:p>
              </w:tc>
              <w:tc>
                <w:tcPr>
                  <w:tcW w:w="1145"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w w:val="100"/>
                      <w:sz w:val="21"/>
                      <w:szCs w:val="21"/>
                      <w:highlight w:val="none"/>
                      <w:lang w:val="en-US" w:eastAsia="zh-CN"/>
                    </w:rPr>
                  </w:pPr>
                  <w:r>
                    <w:rPr>
                      <w:rFonts w:hint="eastAsia"/>
                      <w:color w:val="auto"/>
                      <w:w w:val="100"/>
                      <w:sz w:val="21"/>
                      <w:szCs w:val="21"/>
                      <w:highlight w:val="none"/>
                      <w:lang w:val="en-US" w:eastAsia="zh-CN"/>
                    </w:rPr>
                    <w:t>丙烷</w:t>
                  </w:r>
                </w:p>
              </w:tc>
              <w:tc>
                <w:tcPr>
                  <w:tcW w:w="832"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0.1368</w:t>
                  </w:r>
                </w:p>
              </w:tc>
              <w:tc>
                <w:tcPr>
                  <w:tcW w:w="834"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val="0"/>
                      <w:bCs/>
                      <w:caps w:val="0"/>
                      <w:smallCaps w:val="0"/>
                      <w:color w:val="auto"/>
                      <w:w w:val="100"/>
                      <w:sz w:val="21"/>
                      <w:szCs w:val="21"/>
                      <w:highlight w:val="none"/>
                      <w:vertAlign w:val="baseline"/>
                      <w:lang w:val="en-US" w:eastAsia="zh-CN"/>
                    </w:rPr>
                  </w:pPr>
                  <w:r>
                    <w:rPr>
                      <w:rFonts w:hint="eastAsia"/>
                      <w:b w:val="0"/>
                      <w:bCs/>
                      <w:caps w:val="0"/>
                      <w:smallCaps w:val="0"/>
                      <w:color w:val="auto"/>
                      <w:w w:val="100"/>
                      <w:sz w:val="21"/>
                      <w:szCs w:val="21"/>
                      <w:highlight w:val="none"/>
                      <w:vertAlign w:val="baseline"/>
                      <w:lang w:val="en-US" w:eastAsia="zh-CN"/>
                    </w:rPr>
                    <w:t>10</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p>
              </w:tc>
              <w:tc>
                <w:tcPr>
                  <w:tcW w:w="1528" w:type="dxa"/>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0.01368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19"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合计</w:t>
                  </w:r>
                </w:p>
              </w:tc>
              <w:tc>
                <w:tcPr>
                  <w:tcW w:w="1145"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832" w:type="pct"/>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83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b w:val="0"/>
                      <w:bCs/>
                      <w:caps w:val="0"/>
                      <w:smallCaps w:val="0"/>
                      <w:color w:val="auto"/>
                      <w:w w:val="100"/>
                      <w:sz w:val="21"/>
                      <w:szCs w:val="21"/>
                      <w:highlight w:val="none"/>
                      <w:vertAlign w:val="baseline"/>
                      <w:lang w:val="en-US" w:eastAsia="zh-CN"/>
                    </w:rPr>
                  </w:pPr>
                  <w:r>
                    <w:rPr>
                      <w:rFonts w:hint="eastAsia" w:ascii="Times New Roman" w:hAnsi="Times New Roman" w:eastAsia="宋体"/>
                      <w:b w:val="0"/>
                      <w:bCs/>
                      <w:caps w:val="0"/>
                      <w:smallCaps w:val="0"/>
                      <w:color w:val="auto"/>
                      <w:w w:val="100"/>
                      <w:sz w:val="21"/>
                      <w:szCs w:val="21"/>
                      <w:highlight w:val="none"/>
                      <w:vertAlign w:val="baseline"/>
                      <w:lang w:val="en-US" w:eastAsia="zh-CN"/>
                    </w:rPr>
                    <w:t>—</w:t>
                  </w:r>
                </w:p>
              </w:tc>
              <w:tc>
                <w:tcPr>
                  <w:tcW w:w="1528" w:type="dxa"/>
                  <w:noWrap w:val="0"/>
                  <w:vAlign w:val="center"/>
                </w:tcPr>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b w:val="0"/>
                      <w:bCs/>
                      <w:caps w:val="0"/>
                      <w:smallCaps w:val="0"/>
                      <w:color w:val="auto"/>
                      <w:w w:val="100"/>
                      <w:sz w:val="21"/>
                      <w:szCs w:val="21"/>
                      <w:highlight w:val="none"/>
                      <w:vertAlign w:val="baseline"/>
                      <w:lang w:val="en-US" w:eastAsia="zh-CN"/>
                    </w:rPr>
                  </w:pPr>
                  <w:r>
                    <w:rPr>
                      <w:rFonts w:hint="eastAsia" w:ascii="Times New Roman" w:hAnsi="Times New Roman"/>
                      <w:b w:val="0"/>
                      <w:bCs/>
                      <w:caps w:val="0"/>
                      <w:smallCaps w:val="0"/>
                      <w:color w:val="auto"/>
                      <w:w w:val="100"/>
                      <w:sz w:val="21"/>
                      <w:szCs w:val="21"/>
                      <w:highlight w:val="none"/>
                      <w:vertAlign w:val="baseline"/>
                      <w:lang w:val="en-US" w:eastAsia="zh-CN"/>
                    </w:rPr>
                    <w:t>0.03564</w:t>
                  </w:r>
                </w:p>
              </w:tc>
            </w:tr>
          </w:tbl>
          <w:p>
            <w:pPr>
              <w:pStyle w:val="39"/>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outlineLvl w:val="9"/>
              <w:rPr>
                <w:rFonts w:hint="eastAsia" w:ascii="Times New Roman" w:hAnsi="Times New Roman" w:eastAsia="宋体"/>
                <w:b w:val="0"/>
                <w:caps w:val="0"/>
                <w:smallCaps w:val="0"/>
                <w:color w:val="auto"/>
                <w:w w:val="100"/>
                <w:sz w:val="24"/>
                <w:szCs w:val="24"/>
                <w:highlight w:val="none"/>
                <w:lang w:val="en-US" w:eastAsia="zh-CN"/>
              </w:rPr>
            </w:pPr>
            <w:r>
              <w:rPr>
                <w:rFonts w:hint="eastAsia" w:ascii="Times New Roman" w:hAnsi="Times New Roman" w:eastAsia="宋体"/>
                <w:b w:val="0"/>
                <w:caps w:val="0"/>
                <w:smallCaps w:val="0"/>
                <w:color w:val="auto"/>
                <w:w w:val="100"/>
                <w:sz w:val="24"/>
                <w:szCs w:val="24"/>
                <w:highlight w:val="none"/>
                <w:lang w:val="en-US" w:eastAsia="zh-CN"/>
              </w:rPr>
              <w:t>本</w:t>
            </w:r>
            <w:r>
              <w:rPr>
                <w:rFonts w:hint="eastAsia" w:ascii="Times New Roman" w:hAnsi="Times New Roman"/>
                <w:b w:val="0"/>
                <w:caps w:val="0"/>
                <w:smallCaps w:val="0"/>
                <w:color w:val="auto"/>
                <w:w w:val="100"/>
                <w:sz w:val="24"/>
                <w:szCs w:val="24"/>
                <w:highlight w:val="none"/>
                <w:lang w:val="en-US" w:eastAsia="zh-CN"/>
              </w:rPr>
              <w:t>次技改完成后，临界值为</w:t>
            </w:r>
            <w:r>
              <w:rPr>
                <w:rFonts w:hint="eastAsia" w:ascii="Times New Roman" w:hAnsi="Times New Roman" w:eastAsia="宋体"/>
                <w:b w:val="0"/>
                <w:caps w:val="0"/>
                <w:smallCaps w:val="0"/>
                <w:color w:val="auto"/>
                <w:w w:val="100"/>
                <w:sz w:val="24"/>
                <w:szCs w:val="24"/>
                <w:highlight w:val="none"/>
                <w:lang w:val="en-US" w:eastAsia="zh-CN"/>
              </w:rPr>
              <w:t>Q=</w:t>
            </w:r>
            <w:r>
              <w:rPr>
                <w:rFonts w:hint="eastAsia" w:ascii="Times New Roman" w:hAnsi="Times New Roman"/>
                <w:b w:val="0"/>
                <w:caps w:val="0"/>
                <w:smallCaps w:val="0"/>
                <w:color w:val="auto"/>
                <w:w w:val="100"/>
                <w:sz w:val="24"/>
                <w:szCs w:val="24"/>
                <w:highlight w:val="none"/>
                <w:lang w:val="en-US" w:eastAsia="zh-CN"/>
              </w:rPr>
              <w:t>0.03564</w:t>
            </w:r>
            <w:r>
              <w:rPr>
                <w:rFonts w:hint="eastAsia" w:ascii="Times New Roman" w:hAnsi="Times New Roman" w:eastAsia="宋体"/>
                <w:b w:val="0"/>
                <w:caps w:val="0"/>
                <w:smallCaps w:val="0"/>
                <w:color w:val="auto"/>
                <w:w w:val="100"/>
                <w:sz w:val="24"/>
                <w:szCs w:val="24"/>
                <w:highlight w:val="none"/>
                <w:lang w:val="en-US" w:eastAsia="zh-CN"/>
              </w:rPr>
              <w:t>＜1 ，</w:t>
            </w:r>
            <w:r>
              <w:rPr>
                <w:rFonts w:hint="eastAsia" w:ascii="Times New Roman" w:hAnsi="Times New Roman"/>
                <w:b w:val="0"/>
                <w:caps w:val="0"/>
                <w:smallCaps w:val="0"/>
                <w:color w:val="auto"/>
                <w:w w:val="100"/>
                <w:sz w:val="24"/>
                <w:szCs w:val="24"/>
                <w:highlight w:val="none"/>
                <w:lang w:val="en-US" w:eastAsia="zh-CN"/>
              </w:rPr>
              <w:t>厂区内</w:t>
            </w:r>
            <w:r>
              <w:rPr>
                <w:rFonts w:hint="eastAsia" w:ascii="Times New Roman" w:hAnsi="Times New Roman" w:eastAsia="宋体"/>
                <w:b w:val="0"/>
                <w:caps w:val="0"/>
                <w:smallCaps w:val="0"/>
                <w:color w:val="auto"/>
                <w:w w:val="100"/>
                <w:sz w:val="24"/>
                <w:szCs w:val="24"/>
                <w:highlight w:val="none"/>
                <w:lang w:val="en-US" w:eastAsia="zh-CN"/>
              </w:rPr>
              <w:t>无重大危险源，也不处于环境敏感区域，故该项目环境风险潜势为Ⅰ，按照表</w:t>
            </w:r>
            <w:r>
              <w:rPr>
                <w:rFonts w:hint="eastAsia" w:ascii="Times New Roman" w:hAnsi="Times New Roman"/>
                <w:b w:val="0"/>
                <w:caps w:val="0"/>
                <w:smallCaps w:val="0"/>
                <w:color w:val="auto"/>
                <w:w w:val="100"/>
                <w:sz w:val="24"/>
                <w:szCs w:val="24"/>
                <w:highlight w:val="none"/>
                <w:lang w:val="en-US" w:eastAsia="zh-CN"/>
              </w:rPr>
              <w:t>38</w:t>
            </w:r>
            <w:r>
              <w:rPr>
                <w:rFonts w:hint="eastAsia" w:ascii="Times New Roman" w:hAnsi="Times New Roman" w:eastAsia="宋体"/>
                <w:b w:val="0"/>
                <w:caps w:val="0"/>
                <w:smallCaps w:val="0"/>
                <w:color w:val="auto"/>
                <w:w w:val="100"/>
                <w:sz w:val="24"/>
                <w:szCs w:val="24"/>
                <w:highlight w:val="none"/>
                <w:lang w:val="en-US" w:eastAsia="zh-CN"/>
              </w:rPr>
              <w:t>评价工作等级划分确定本项目为简单分析，风险评价内容仅需对危险物质危险性识别、环境影响途径、环境危害后果、风险防范措施等方面给出定性的说明。</w:t>
            </w:r>
          </w:p>
          <w:p>
            <w:pPr>
              <w:pStyle w:val="5"/>
              <w:keepNext w:val="0"/>
              <w:keepLines w:val="0"/>
              <w:pageBreakBefore w:val="0"/>
              <w:widowControl/>
              <w:kinsoku/>
              <w:wordWrap/>
              <w:overflowPunct/>
              <w:topLinePunct w:val="0"/>
              <w:autoSpaceDE/>
              <w:autoSpaceDN/>
              <w:bidi w:val="0"/>
              <w:adjustRightInd/>
              <w:snapToGrid/>
              <w:spacing w:before="0" w:after="0" w:line="480" w:lineRule="exact"/>
              <w:ind w:firstLine="480" w:firstLineChars="200"/>
              <w:jc w:val="left"/>
              <w:textAlignment w:val="auto"/>
              <w:rPr>
                <w:rFonts w:hint="eastAsia" w:ascii="Times New Roman" w:hAnsi="Times New Roman" w:eastAsia="宋体"/>
                <w:b w:val="0"/>
                <w:bCs w:val="0"/>
                <w:color w:val="auto"/>
                <w:w w:val="100"/>
                <w:kern w:val="2"/>
                <w:sz w:val="24"/>
                <w:szCs w:val="24"/>
                <w:highlight w:val="none"/>
                <w:lang w:val="en-US" w:eastAsia="zh-CN" w:bidi="ar-SA"/>
              </w:rPr>
            </w:pPr>
            <w:r>
              <w:rPr>
                <w:rFonts w:hint="eastAsia" w:ascii="Times New Roman" w:hAnsi="Times New Roman" w:eastAsia="宋体"/>
                <w:b w:val="0"/>
                <w:bCs w:val="0"/>
                <w:color w:val="auto"/>
                <w:w w:val="100"/>
                <w:kern w:val="2"/>
                <w:sz w:val="24"/>
                <w:szCs w:val="24"/>
                <w:highlight w:val="none"/>
                <w:lang w:val="en-US" w:eastAsia="zh-CN" w:bidi="ar-SA"/>
              </w:rPr>
              <w:t xml:space="preserve"> （2）环境风险识别</w:t>
            </w:r>
          </w:p>
          <w:p>
            <w:pPr>
              <w:pStyle w:val="7"/>
              <w:keepNext w:val="0"/>
              <w:keepLines w:val="0"/>
              <w:pageBreakBefore w:val="0"/>
              <w:kinsoku/>
              <w:wordWrap/>
              <w:overflowPunct/>
              <w:topLinePunct w:val="0"/>
              <w:autoSpaceDE/>
              <w:autoSpaceDN/>
              <w:bidi w:val="0"/>
              <w:snapToGrid/>
              <w:spacing w:line="480" w:lineRule="exact"/>
              <w:rPr>
                <w:rFonts w:hint="default" w:ascii="Times New Roman" w:hAnsi="Times New Roman"/>
                <w:caps w:val="0"/>
                <w:smallCaps w:val="0"/>
                <w:color w:val="auto"/>
                <w:w w:val="100"/>
                <w:sz w:val="24"/>
                <w:szCs w:val="24"/>
                <w:highlight w:val="none"/>
                <w:lang w:val="en-US" w:eastAsia="zh-CN"/>
              </w:rPr>
            </w:pPr>
            <w:r>
              <w:rPr>
                <w:rFonts w:hint="default" w:ascii="Times New Roman" w:hAnsi="Times New Roman"/>
                <w:caps w:val="0"/>
                <w:smallCaps w:val="0"/>
                <w:color w:val="auto"/>
                <w:w w:val="100"/>
                <w:sz w:val="24"/>
                <w:szCs w:val="24"/>
                <w:highlight w:val="none"/>
                <w:lang w:val="en-US" w:eastAsia="zh-CN"/>
              </w:rPr>
              <w:t>按照《建设项目环境风险评价技术导则》（HJ 169-2018）附录 B 识别本项目危险物质，</w:t>
            </w:r>
            <w:r>
              <w:rPr>
                <w:rFonts w:hint="eastAsia" w:ascii="Times New Roman" w:hAnsi="Times New Roman"/>
                <w:caps w:val="0"/>
                <w:smallCaps w:val="0"/>
                <w:color w:val="auto"/>
                <w:w w:val="100"/>
                <w:sz w:val="24"/>
                <w:szCs w:val="24"/>
                <w:highlight w:val="none"/>
                <w:lang w:val="en-US" w:eastAsia="zh-CN"/>
              </w:rPr>
              <w:t>系统危险性识别及影响途径见</w:t>
            </w:r>
            <w:r>
              <w:rPr>
                <w:rFonts w:hint="default" w:ascii="Times New Roman" w:hAnsi="Times New Roman"/>
                <w:caps w:val="0"/>
                <w:smallCaps w:val="0"/>
                <w:color w:val="auto"/>
                <w:w w:val="100"/>
                <w:sz w:val="24"/>
                <w:szCs w:val="24"/>
                <w:highlight w:val="none"/>
                <w:lang w:val="en-US" w:eastAsia="zh-CN"/>
              </w:rPr>
              <w:t>表</w:t>
            </w:r>
            <w:r>
              <w:rPr>
                <w:rFonts w:hint="eastAsia" w:ascii="Times New Roman" w:hAnsi="Times New Roman"/>
                <w:caps w:val="0"/>
                <w:smallCaps w:val="0"/>
                <w:color w:val="auto"/>
                <w:w w:val="100"/>
                <w:sz w:val="24"/>
                <w:szCs w:val="24"/>
                <w:highlight w:val="none"/>
                <w:lang w:val="en-US" w:eastAsia="zh-CN"/>
              </w:rPr>
              <w:t>4</w:t>
            </w:r>
            <w:r>
              <w:rPr>
                <w:rFonts w:hint="eastAsia"/>
                <w:caps w:val="0"/>
                <w:smallCaps w:val="0"/>
                <w:color w:val="auto"/>
                <w:w w:val="100"/>
                <w:sz w:val="24"/>
                <w:szCs w:val="24"/>
                <w:highlight w:val="none"/>
                <w:lang w:val="en-US" w:eastAsia="zh-CN"/>
              </w:rPr>
              <w:t>0</w:t>
            </w:r>
            <w:r>
              <w:rPr>
                <w:rFonts w:hint="default" w:ascii="Times New Roman" w:hAnsi="Times New Roman"/>
                <w:caps w:val="0"/>
                <w:smallCaps w:val="0"/>
                <w:color w:val="auto"/>
                <w:w w:val="100"/>
                <w:sz w:val="24"/>
                <w:szCs w:val="24"/>
                <w:highlight w:val="none"/>
                <w:lang w:val="en-US" w:eastAsia="zh-CN"/>
              </w:rPr>
              <w:t>。</w:t>
            </w:r>
          </w:p>
          <w:p>
            <w:pPr>
              <w:pStyle w:val="7"/>
              <w:jc w:val="center"/>
              <w:rPr>
                <w:rFonts w:hint="default" w:ascii="Times New Roman" w:hAnsi="Times New Roman" w:eastAsia="黑体"/>
                <w:caps w:val="0"/>
                <w:smallCaps w:val="0"/>
                <w:color w:val="auto"/>
                <w:w w:val="100"/>
                <w:kern w:val="2"/>
                <w:sz w:val="24"/>
                <w:szCs w:val="24"/>
                <w:highlight w:val="none"/>
                <w:lang w:val="en-US" w:eastAsia="zh-CN" w:bidi="ar-SA"/>
              </w:rPr>
            </w:pPr>
            <w:r>
              <w:rPr>
                <w:rFonts w:hint="default" w:ascii="Times New Roman" w:hAnsi="Times New Roman" w:eastAsia="黑体"/>
                <w:caps w:val="0"/>
                <w:smallCaps w:val="0"/>
                <w:color w:val="auto"/>
                <w:w w:val="100"/>
                <w:kern w:val="2"/>
                <w:sz w:val="24"/>
                <w:szCs w:val="24"/>
                <w:highlight w:val="none"/>
                <w:lang w:val="en-US" w:eastAsia="zh-CN" w:bidi="ar-SA"/>
              </w:rPr>
              <w:t>表</w:t>
            </w:r>
            <w:r>
              <w:rPr>
                <w:rFonts w:hint="eastAsia" w:ascii="Times New Roman" w:hAnsi="Times New Roman" w:eastAsia="黑体"/>
                <w:caps w:val="0"/>
                <w:smallCaps w:val="0"/>
                <w:color w:val="auto"/>
                <w:w w:val="100"/>
                <w:kern w:val="2"/>
                <w:sz w:val="24"/>
                <w:szCs w:val="24"/>
                <w:highlight w:val="none"/>
                <w:lang w:val="en-US" w:eastAsia="zh-CN" w:bidi="ar-SA"/>
              </w:rPr>
              <w:t>4</w:t>
            </w:r>
            <w:r>
              <w:rPr>
                <w:rFonts w:hint="eastAsia" w:eastAsia="黑体"/>
                <w:caps w:val="0"/>
                <w:smallCaps w:val="0"/>
                <w:color w:val="auto"/>
                <w:w w:val="100"/>
                <w:kern w:val="2"/>
                <w:sz w:val="24"/>
                <w:szCs w:val="24"/>
                <w:highlight w:val="none"/>
                <w:lang w:val="en-US" w:eastAsia="zh-CN" w:bidi="ar-SA"/>
              </w:rPr>
              <w:t>0</w:t>
            </w:r>
            <w:r>
              <w:rPr>
                <w:rFonts w:hint="eastAsia" w:ascii="Times New Roman" w:hAnsi="Times New Roman" w:eastAsia="黑体"/>
                <w:caps w:val="0"/>
                <w:smallCaps w:val="0"/>
                <w:color w:val="auto"/>
                <w:w w:val="100"/>
                <w:kern w:val="2"/>
                <w:sz w:val="24"/>
                <w:szCs w:val="24"/>
                <w:highlight w:val="none"/>
                <w:lang w:val="en-US" w:eastAsia="zh-CN" w:bidi="ar-SA"/>
              </w:rPr>
              <w:t xml:space="preserve">   </w:t>
            </w:r>
            <w:r>
              <w:rPr>
                <w:rFonts w:hint="default" w:ascii="Times New Roman" w:hAnsi="Times New Roman" w:eastAsia="黑体"/>
                <w:caps w:val="0"/>
                <w:smallCaps w:val="0"/>
                <w:color w:val="auto"/>
                <w:w w:val="100"/>
                <w:kern w:val="2"/>
                <w:sz w:val="24"/>
                <w:szCs w:val="24"/>
                <w:highlight w:val="none"/>
                <w:lang w:val="en-US" w:eastAsia="zh-CN" w:bidi="ar-SA"/>
              </w:rPr>
              <w:t xml:space="preserve"> </w:t>
            </w:r>
            <w:r>
              <w:rPr>
                <w:rFonts w:hint="eastAsia" w:ascii="Times New Roman" w:hAnsi="Times New Roman" w:eastAsia="黑体"/>
                <w:caps w:val="0"/>
                <w:smallCaps w:val="0"/>
                <w:color w:val="auto"/>
                <w:w w:val="100"/>
                <w:kern w:val="2"/>
                <w:sz w:val="24"/>
                <w:szCs w:val="24"/>
                <w:highlight w:val="none"/>
                <w:lang w:val="en-US" w:eastAsia="zh-CN" w:bidi="ar-SA"/>
              </w:rPr>
              <w:t>危险物质风险识别及影响途径</w:t>
            </w:r>
          </w:p>
          <w:tbl>
            <w:tblPr>
              <w:tblStyle w:val="32"/>
              <w:tblW w:w="4995"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17"/>
              <w:gridCol w:w="932"/>
              <w:gridCol w:w="807"/>
              <w:gridCol w:w="866"/>
              <w:gridCol w:w="717"/>
              <w:gridCol w:w="897"/>
              <w:gridCol w:w="829"/>
              <w:gridCol w:w="1150"/>
              <w:gridCol w:w="1738"/>
              <w:gridCol w:w="79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27"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序号</w:t>
                  </w:r>
                </w:p>
              </w:tc>
              <w:tc>
                <w:tcPr>
                  <w:tcW w:w="509"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风险</w:t>
                  </w:r>
                </w:p>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单元</w:t>
                  </w:r>
                </w:p>
              </w:tc>
              <w:tc>
                <w:tcPr>
                  <w:tcW w:w="441"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装置名称</w:t>
                  </w:r>
                </w:p>
              </w:tc>
              <w:tc>
                <w:tcPr>
                  <w:tcW w:w="473"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危险物质名称</w:t>
                  </w:r>
                </w:p>
              </w:tc>
              <w:tc>
                <w:tcPr>
                  <w:tcW w:w="391"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default"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最大存在量t</w:t>
                  </w:r>
                </w:p>
              </w:tc>
              <w:tc>
                <w:tcPr>
                  <w:tcW w:w="490" w:type="pct"/>
                  <w:noWrap w:val="0"/>
                  <w:vAlign w:val="center"/>
                </w:tcPr>
                <w:p>
                  <w:pPr>
                    <w:spacing w:line="0" w:lineRule="atLeast"/>
                    <w:jc w:val="center"/>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3"/>
                      <w:highlight w:val="none"/>
                    </w:rPr>
                    <w:t>危险性</w:t>
                  </w:r>
                </w:p>
              </w:tc>
              <w:tc>
                <w:tcPr>
                  <w:tcW w:w="453" w:type="pct"/>
                  <w:noWrap w:val="0"/>
                  <w:vAlign w:val="center"/>
                </w:tcPr>
                <w:p>
                  <w:pPr>
                    <w:spacing w:line="0" w:lineRule="atLeast"/>
                    <w:jc w:val="center"/>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3"/>
                      <w:highlight w:val="none"/>
                    </w:rPr>
                    <w:t>存在条件</w:t>
                  </w:r>
                </w:p>
              </w:tc>
              <w:tc>
                <w:tcPr>
                  <w:tcW w:w="628" w:type="pct"/>
                  <w:noWrap w:val="0"/>
                  <w:vAlign w:val="center"/>
                </w:tcPr>
                <w:p>
                  <w:pPr>
                    <w:spacing w:line="0" w:lineRule="atLeast"/>
                    <w:jc w:val="center"/>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3"/>
                      <w:highlight w:val="none"/>
                    </w:rPr>
                    <w:t>转化为事故的触发因素</w:t>
                  </w:r>
                </w:p>
              </w:tc>
              <w:tc>
                <w:tcPr>
                  <w:tcW w:w="950"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ascii="Times New Roman" w:hAnsi="Times New Roman"/>
                      <w:caps w:val="0"/>
                      <w:smallCaps w:val="0"/>
                      <w:color w:val="auto"/>
                      <w:w w:val="100"/>
                      <w:highlight w:val="none"/>
                    </w:rPr>
                  </w:pPr>
                  <w:r>
                    <w:rPr>
                      <w:rFonts w:hint="eastAsia" w:ascii="Times New Roman" w:hAnsi="Times New Roman"/>
                      <w:caps w:val="0"/>
                      <w:smallCaps w:val="0"/>
                      <w:color w:val="auto"/>
                      <w:w w:val="100"/>
                      <w:sz w:val="21"/>
                      <w:szCs w:val="21"/>
                      <w:highlight w:val="none"/>
                      <w:vertAlign w:val="baseline"/>
                      <w:lang w:val="en-US" w:eastAsia="zh-CN"/>
                    </w:rPr>
                    <w:t>主要危害</w:t>
                  </w:r>
                </w:p>
              </w:tc>
              <w:tc>
                <w:tcPr>
                  <w:tcW w:w="433"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影响途径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27"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default"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1</w:t>
                  </w:r>
                </w:p>
              </w:tc>
              <w:tc>
                <w:tcPr>
                  <w:tcW w:w="509"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原料存放区</w:t>
                  </w:r>
                </w:p>
              </w:tc>
              <w:tc>
                <w:tcPr>
                  <w:tcW w:w="441"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油桶</w:t>
                  </w:r>
                </w:p>
              </w:tc>
              <w:tc>
                <w:tcPr>
                  <w:tcW w:w="473"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矿物油</w:t>
                  </w:r>
                </w:p>
              </w:tc>
              <w:tc>
                <w:tcPr>
                  <w:tcW w:w="391"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default" w:ascii="Times New Roman" w:hAnsi="Times New Roman"/>
                      <w:caps w:val="0"/>
                      <w:smallCaps w:val="0"/>
                      <w:color w:val="auto"/>
                      <w:w w:val="100"/>
                      <w:sz w:val="21"/>
                      <w:szCs w:val="21"/>
                      <w:highlight w:val="none"/>
                      <w:vertAlign w:val="baseline"/>
                      <w:lang w:val="en-US" w:eastAsia="zh-CN"/>
                    </w:rPr>
                  </w:pPr>
                  <w:r>
                    <w:rPr>
                      <w:rFonts w:hint="eastAsia"/>
                      <w:caps w:val="0"/>
                      <w:smallCaps w:val="0"/>
                      <w:color w:val="auto"/>
                      <w:w w:val="100"/>
                      <w:sz w:val="21"/>
                      <w:szCs w:val="21"/>
                      <w:highlight w:val="none"/>
                      <w:vertAlign w:val="baseline"/>
                      <w:lang w:val="en-US" w:eastAsia="zh-CN"/>
                    </w:rPr>
                    <w:t>2.2</w:t>
                  </w:r>
                </w:p>
              </w:tc>
              <w:tc>
                <w:tcPr>
                  <w:tcW w:w="490" w:type="pct"/>
                  <w:vMerge w:val="restart"/>
                  <w:noWrap w:val="0"/>
                  <w:vAlign w:val="center"/>
                </w:tcPr>
                <w:p>
                  <w:pPr>
                    <w:spacing w:line="0" w:lineRule="atLeast"/>
                    <w:jc w:val="center"/>
                    <w:rPr>
                      <w:rFonts w:hint="eastAsia" w:ascii="Times New Roman" w:hAnsi="Times New Roman" w:eastAsia="宋体"/>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3"/>
                      <w:highlight w:val="none"/>
                    </w:rPr>
                    <w:t>易燃</w:t>
                  </w:r>
                  <w:r>
                    <w:rPr>
                      <w:rFonts w:hint="eastAsia" w:ascii="Times New Roman" w:hAnsi="Times New Roman"/>
                      <w:caps w:val="0"/>
                      <w:smallCaps w:val="0"/>
                      <w:color w:val="auto"/>
                      <w:w w:val="100"/>
                      <w:sz w:val="21"/>
                      <w:szCs w:val="23"/>
                      <w:highlight w:val="none"/>
                      <w:lang w:eastAsia="zh-CN"/>
                    </w:rPr>
                    <w:t>、毒性</w:t>
                  </w:r>
                </w:p>
              </w:tc>
              <w:tc>
                <w:tcPr>
                  <w:tcW w:w="453" w:type="pct"/>
                  <w:noWrap w:val="0"/>
                  <w:vAlign w:val="center"/>
                </w:tcPr>
                <w:p>
                  <w:pPr>
                    <w:spacing w:line="0" w:lineRule="atLeast"/>
                    <w:jc w:val="center"/>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3"/>
                      <w:highlight w:val="none"/>
                    </w:rPr>
                    <w:t>泄漏，明火</w:t>
                  </w:r>
                </w:p>
              </w:tc>
              <w:tc>
                <w:tcPr>
                  <w:tcW w:w="628" w:type="pct"/>
                  <w:noWrap w:val="0"/>
                  <w:vAlign w:val="center"/>
                </w:tcPr>
                <w:p>
                  <w:pPr>
                    <w:spacing w:line="0" w:lineRule="atLeast"/>
                    <w:jc w:val="center"/>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3"/>
                      <w:highlight w:val="none"/>
                    </w:rPr>
                    <w:t>违规操作</w:t>
                  </w:r>
                </w:p>
              </w:tc>
              <w:tc>
                <w:tcPr>
                  <w:tcW w:w="950" w:type="pct"/>
                  <w:vMerge w:val="restar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ascii="Times New Roman" w:hAnsi="Times New Roman"/>
                      <w:caps w:val="0"/>
                      <w:smallCaps w:val="0"/>
                      <w:color w:val="auto"/>
                      <w:w w:val="100"/>
                      <w:highlight w:val="none"/>
                    </w:rPr>
                  </w:pPr>
                  <w:r>
                    <w:rPr>
                      <w:rFonts w:hint="eastAsia" w:ascii="Times New Roman" w:hAnsi="Times New Roman"/>
                      <w:caps w:val="0"/>
                      <w:smallCaps w:val="0"/>
                      <w:color w:val="auto"/>
                      <w:w w:val="100"/>
                      <w:sz w:val="21"/>
                      <w:szCs w:val="21"/>
                      <w:highlight w:val="none"/>
                      <w:vertAlign w:val="baseline"/>
                      <w:lang w:val="en-US" w:eastAsia="zh-CN"/>
                    </w:rPr>
                    <w:t>泄漏流入外环境或遇明火引发火灾</w:t>
                  </w:r>
                </w:p>
              </w:tc>
              <w:tc>
                <w:tcPr>
                  <w:tcW w:w="433"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大气、水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27"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default"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2</w:t>
                  </w:r>
                </w:p>
              </w:tc>
              <w:tc>
                <w:tcPr>
                  <w:tcW w:w="509"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危废暂存间</w:t>
                  </w:r>
                </w:p>
              </w:tc>
              <w:tc>
                <w:tcPr>
                  <w:tcW w:w="441"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caps w:val="0"/>
                      <w:smallCaps w:val="0"/>
                      <w:color w:val="auto"/>
                      <w:w w:val="100"/>
                      <w:sz w:val="21"/>
                      <w:szCs w:val="21"/>
                      <w:highlight w:val="none"/>
                      <w:vertAlign w:val="baseline"/>
                      <w:lang w:val="en-US" w:eastAsia="zh-CN"/>
                    </w:rPr>
                    <w:t>废包装桶</w:t>
                  </w:r>
                </w:p>
              </w:tc>
              <w:tc>
                <w:tcPr>
                  <w:tcW w:w="473"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废矿物油</w:t>
                  </w:r>
                </w:p>
              </w:tc>
              <w:tc>
                <w:tcPr>
                  <w:tcW w:w="391"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default" w:ascii="Times New Roman" w:hAnsi="Times New Roman"/>
                      <w:caps w:val="0"/>
                      <w:smallCaps w:val="0"/>
                      <w:color w:val="auto"/>
                      <w:w w:val="100"/>
                      <w:sz w:val="21"/>
                      <w:szCs w:val="21"/>
                      <w:highlight w:val="none"/>
                      <w:vertAlign w:val="baseline"/>
                      <w:lang w:val="en-US" w:eastAsia="zh-CN"/>
                    </w:rPr>
                  </w:pPr>
                  <w:r>
                    <w:rPr>
                      <w:rFonts w:hint="eastAsia"/>
                      <w:caps w:val="0"/>
                      <w:smallCaps w:val="0"/>
                      <w:color w:val="auto"/>
                      <w:w w:val="100"/>
                      <w:sz w:val="21"/>
                      <w:szCs w:val="21"/>
                      <w:highlight w:val="none"/>
                      <w:vertAlign w:val="baseline"/>
                      <w:lang w:val="en-US" w:eastAsia="zh-CN"/>
                    </w:rPr>
                    <w:t>4.4</w:t>
                  </w:r>
                </w:p>
              </w:tc>
              <w:tc>
                <w:tcPr>
                  <w:tcW w:w="490" w:type="pct"/>
                  <w:vMerge w:val="continue"/>
                  <w:noWrap w:val="0"/>
                  <w:vAlign w:val="center"/>
                </w:tcPr>
                <w:p>
                  <w:pPr>
                    <w:spacing w:line="0" w:lineRule="atLeast"/>
                    <w:jc w:val="center"/>
                    <w:rPr>
                      <w:rFonts w:hint="eastAsia" w:ascii="Times New Roman" w:hAnsi="Times New Roman" w:eastAsia="宋体"/>
                      <w:caps w:val="0"/>
                      <w:smallCaps w:val="0"/>
                      <w:color w:val="auto"/>
                      <w:w w:val="100"/>
                      <w:sz w:val="21"/>
                      <w:szCs w:val="21"/>
                      <w:highlight w:val="none"/>
                      <w:vertAlign w:val="baseline"/>
                      <w:lang w:val="en-US" w:eastAsia="zh-CN"/>
                    </w:rPr>
                  </w:pPr>
                </w:p>
              </w:tc>
              <w:tc>
                <w:tcPr>
                  <w:tcW w:w="453" w:type="pct"/>
                  <w:noWrap w:val="0"/>
                  <w:vAlign w:val="center"/>
                </w:tcPr>
                <w:p>
                  <w:pPr>
                    <w:spacing w:line="0" w:lineRule="atLeast"/>
                    <w:jc w:val="center"/>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3"/>
                      <w:highlight w:val="none"/>
                    </w:rPr>
                    <w:t>泄漏，明火</w:t>
                  </w:r>
                </w:p>
              </w:tc>
              <w:tc>
                <w:tcPr>
                  <w:tcW w:w="628" w:type="pct"/>
                  <w:noWrap w:val="0"/>
                  <w:vAlign w:val="center"/>
                </w:tcPr>
                <w:p>
                  <w:pPr>
                    <w:spacing w:line="0" w:lineRule="atLeast"/>
                    <w:jc w:val="center"/>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3"/>
                      <w:highlight w:val="none"/>
                    </w:rPr>
                    <w:t>违规操作</w:t>
                  </w:r>
                </w:p>
              </w:tc>
              <w:tc>
                <w:tcPr>
                  <w:tcW w:w="950" w:type="pct"/>
                  <w:vMerge w:val="continue"/>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ascii="Times New Roman" w:hAnsi="Times New Roman"/>
                      <w:caps w:val="0"/>
                      <w:smallCaps w:val="0"/>
                      <w:color w:val="auto"/>
                      <w:w w:val="100"/>
                      <w:highlight w:val="none"/>
                    </w:rPr>
                  </w:pPr>
                </w:p>
              </w:tc>
              <w:tc>
                <w:tcPr>
                  <w:tcW w:w="433"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ascii="Times New Roman" w:hAnsi="Times New Roman"/>
                      <w:caps w:val="0"/>
                      <w:smallCaps w:val="0"/>
                      <w:color w:val="auto"/>
                      <w:w w:val="100"/>
                      <w:highlight w:val="none"/>
                    </w:rPr>
                  </w:pPr>
                  <w:r>
                    <w:rPr>
                      <w:rFonts w:hint="eastAsia" w:ascii="Times New Roman" w:hAnsi="Times New Roman"/>
                      <w:caps w:val="0"/>
                      <w:smallCaps w:val="0"/>
                      <w:color w:val="auto"/>
                      <w:w w:val="100"/>
                      <w:sz w:val="21"/>
                      <w:szCs w:val="21"/>
                      <w:highlight w:val="none"/>
                      <w:vertAlign w:val="baseline"/>
                      <w:lang w:val="en-US" w:eastAsia="zh-CN"/>
                    </w:rPr>
                    <w:t>大气、水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27"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default" w:ascii="Times New Roman" w:hAnsi="Times New Roman"/>
                      <w:caps w:val="0"/>
                      <w:smallCaps w:val="0"/>
                      <w:color w:val="auto"/>
                      <w:w w:val="100"/>
                      <w:sz w:val="21"/>
                      <w:szCs w:val="21"/>
                      <w:highlight w:val="none"/>
                      <w:vertAlign w:val="baseline"/>
                      <w:lang w:val="en-US" w:eastAsia="zh-CN"/>
                    </w:rPr>
                  </w:pPr>
                  <w:r>
                    <w:rPr>
                      <w:rFonts w:hint="eastAsia"/>
                      <w:caps w:val="0"/>
                      <w:smallCaps w:val="0"/>
                      <w:color w:val="auto"/>
                      <w:w w:val="100"/>
                      <w:sz w:val="21"/>
                      <w:szCs w:val="21"/>
                      <w:highlight w:val="none"/>
                      <w:vertAlign w:val="baseline"/>
                      <w:lang w:val="en-US" w:eastAsia="zh-CN"/>
                    </w:rPr>
                    <w:t>3</w:t>
                  </w:r>
                </w:p>
              </w:tc>
              <w:tc>
                <w:tcPr>
                  <w:tcW w:w="509"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1"/>
                      <w:highlight w:val="none"/>
                      <w:vertAlign w:val="baseline"/>
                      <w:lang w:val="en-US" w:eastAsia="zh-CN"/>
                    </w:rPr>
                    <w:t>原料存放区</w:t>
                  </w:r>
                </w:p>
              </w:tc>
              <w:tc>
                <w:tcPr>
                  <w:tcW w:w="441"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caps w:val="0"/>
                      <w:smallCaps w:val="0"/>
                      <w:color w:val="auto"/>
                      <w:w w:val="100"/>
                      <w:sz w:val="21"/>
                      <w:szCs w:val="21"/>
                      <w:highlight w:val="none"/>
                      <w:vertAlign w:val="baseline"/>
                      <w:lang w:val="en-US" w:eastAsia="zh-CN"/>
                    </w:rPr>
                    <w:t>丙烷罐</w:t>
                  </w:r>
                </w:p>
              </w:tc>
              <w:tc>
                <w:tcPr>
                  <w:tcW w:w="473"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caps w:val="0"/>
                      <w:smallCaps w:val="0"/>
                      <w:color w:val="auto"/>
                      <w:w w:val="100"/>
                      <w:sz w:val="21"/>
                      <w:szCs w:val="21"/>
                      <w:highlight w:val="none"/>
                      <w:vertAlign w:val="baseline"/>
                      <w:lang w:val="en-US" w:eastAsia="zh-CN"/>
                    </w:rPr>
                  </w:pPr>
                  <w:r>
                    <w:rPr>
                      <w:rFonts w:hint="eastAsia"/>
                      <w:caps w:val="0"/>
                      <w:smallCaps w:val="0"/>
                      <w:color w:val="auto"/>
                      <w:w w:val="100"/>
                      <w:sz w:val="21"/>
                      <w:szCs w:val="21"/>
                      <w:highlight w:val="none"/>
                      <w:vertAlign w:val="baseline"/>
                      <w:lang w:val="en-US" w:eastAsia="zh-CN"/>
                    </w:rPr>
                    <w:t>丙烷</w:t>
                  </w:r>
                </w:p>
              </w:tc>
              <w:tc>
                <w:tcPr>
                  <w:tcW w:w="391"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default"/>
                      <w:caps w:val="0"/>
                      <w:smallCaps w:val="0"/>
                      <w:color w:val="auto"/>
                      <w:w w:val="100"/>
                      <w:sz w:val="21"/>
                      <w:szCs w:val="21"/>
                      <w:highlight w:val="none"/>
                      <w:vertAlign w:val="baseline"/>
                      <w:lang w:val="en-US" w:eastAsia="zh-CN"/>
                    </w:rPr>
                  </w:pPr>
                  <w:r>
                    <w:rPr>
                      <w:rFonts w:hint="eastAsia"/>
                      <w:caps w:val="0"/>
                      <w:smallCaps w:val="0"/>
                      <w:color w:val="auto"/>
                      <w:w w:val="100"/>
                      <w:sz w:val="21"/>
                      <w:szCs w:val="21"/>
                      <w:highlight w:val="none"/>
                      <w:vertAlign w:val="baseline"/>
                      <w:lang w:val="en-US" w:eastAsia="zh-CN"/>
                    </w:rPr>
                    <w:t>0.1368</w:t>
                  </w:r>
                </w:p>
              </w:tc>
              <w:tc>
                <w:tcPr>
                  <w:tcW w:w="490" w:type="pct"/>
                  <w:noWrap w:val="0"/>
                  <w:vAlign w:val="center"/>
                </w:tcPr>
                <w:p>
                  <w:pPr>
                    <w:spacing w:line="0" w:lineRule="atLeast"/>
                    <w:jc w:val="center"/>
                    <w:rPr>
                      <w:rFonts w:hint="eastAsia" w:ascii="Times New Roman" w:hAnsi="Times New Roman" w:eastAsia="宋体"/>
                      <w:caps w:val="0"/>
                      <w:smallCaps w:val="0"/>
                      <w:color w:val="auto"/>
                      <w:w w:val="100"/>
                      <w:sz w:val="21"/>
                      <w:szCs w:val="21"/>
                      <w:highlight w:val="none"/>
                      <w:vertAlign w:val="baseline"/>
                      <w:lang w:val="en-US" w:eastAsia="zh-CN"/>
                    </w:rPr>
                  </w:pPr>
                  <w:r>
                    <w:rPr>
                      <w:rFonts w:hint="eastAsia" w:ascii="Times New Roman" w:hAnsi="Times New Roman"/>
                      <w:caps w:val="0"/>
                      <w:smallCaps w:val="0"/>
                      <w:color w:val="auto"/>
                      <w:w w:val="100"/>
                      <w:sz w:val="21"/>
                      <w:szCs w:val="23"/>
                      <w:highlight w:val="none"/>
                    </w:rPr>
                    <w:t>易燃</w:t>
                  </w:r>
                </w:p>
              </w:tc>
              <w:tc>
                <w:tcPr>
                  <w:tcW w:w="453" w:type="pct"/>
                  <w:noWrap w:val="0"/>
                  <w:vAlign w:val="center"/>
                </w:tcPr>
                <w:p>
                  <w:pPr>
                    <w:spacing w:line="0" w:lineRule="atLeast"/>
                    <w:jc w:val="center"/>
                    <w:rPr>
                      <w:rFonts w:hint="eastAsia" w:ascii="Times New Roman" w:hAnsi="Times New Roman" w:eastAsia="宋体" w:cs="Times New Roman"/>
                      <w:caps w:val="0"/>
                      <w:smallCaps w:val="0"/>
                      <w:color w:val="auto"/>
                      <w:w w:val="100"/>
                      <w:kern w:val="2"/>
                      <w:sz w:val="21"/>
                      <w:szCs w:val="21"/>
                      <w:highlight w:val="none"/>
                      <w:vertAlign w:val="baseline"/>
                      <w:lang w:val="en-US" w:eastAsia="zh-CN" w:bidi="ar-SA"/>
                    </w:rPr>
                  </w:pPr>
                  <w:r>
                    <w:rPr>
                      <w:rFonts w:hint="eastAsia" w:ascii="Times New Roman" w:hAnsi="Times New Roman"/>
                      <w:caps w:val="0"/>
                      <w:smallCaps w:val="0"/>
                      <w:color w:val="auto"/>
                      <w:w w:val="100"/>
                      <w:sz w:val="21"/>
                      <w:szCs w:val="23"/>
                      <w:highlight w:val="none"/>
                    </w:rPr>
                    <w:t>泄漏，明火</w:t>
                  </w:r>
                </w:p>
              </w:tc>
              <w:tc>
                <w:tcPr>
                  <w:tcW w:w="628" w:type="pct"/>
                  <w:noWrap w:val="0"/>
                  <w:vAlign w:val="center"/>
                </w:tcPr>
                <w:p>
                  <w:pPr>
                    <w:spacing w:line="0" w:lineRule="atLeast"/>
                    <w:jc w:val="center"/>
                    <w:rPr>
                      <w:rFonts w:hint="eastAsia" w:ascii="Times New Roman" w:hAnsi="Times New Roman" w:eastAsia="宋体" w:cs="Times New Roman"/>
                      <w:caps w:val="0"/>
                      <w:smallCaps w:val="0"/>
                      <w:color w:val="auto"/>
                      <w:w w:val="100"/>
                      <w:kern w:val="2"/>
                      <w:sz w:val="21"/>
                      <w:szCs w:val="21"/>
                      <w:highlight w:val="none"/>
                      <w:vertAlign w:val="baseline"/>
                      <w:lang w:val="en-US" w:eastAsia="zh-CN" w:bidi="ar-SA"/>
                    </w:rPr>
                  </w:pPr>
                  <w:r>
                    <w:rPr>
                      <w:rFonts w:hint="eastAsia" w:ascii="Times New Roman" w:hAnsi="Times New Roman"/>
                      <w:caps w:val="0"/>
                      <w:smallCaps w:val="0"/>
                      <w:color w:val="auto"/>
                      <w:w w:val="100"/>
                      <w:sz w:val="21"/>
                      <w:szCs w:val="23"/>
                      <w:highlight w:val="none"/>
                    </w:rPr>
                    <w:t>违规操作</w:t>
                  </w:r>
                </w:p>
              </w:tc>
              <w:tc>
                <w:tcPr>
                  <w:tcW w:w="950"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ascii="Times New Roman" w:hAnsi="Times New Roman"/>
                      <w:caps w:val="0"/>
                      <w:smallCaps w:val="0"/>
                      <w:color w:val="auto"/>
                      <w:w w:val="100"/>
                      <w:highlight w:val="none"/>
                    </w:rPr>
                  </w:pPr>
                  <w:r>
                    <w:rPr>
                      <w:color w:val="auto"/>
                      <w:szCs w:val="21"/>
                      <w:highlight w:val="none"/>
                    </w:rPr>
                    <w:t>泄漏，火灾、爆炸引发的伴生/次生污染物排放</w:t>
                  </w:r>
                </w:p>
              </w:tc>
              <w:tc>
                <w:tcPr>
                  <w:tcW w:w="433" w:type="pct"/>
                  <w:noWrap w:val="0"/>
                  <w:vAlign w:val="center"/>
                </w:tcPr>
                <w:p>
                  <w:pPr>
                    <w:pStyle w:val="30"/>
                    <w:keepNext w:val="0"/>
                    <w:keepLines w:val="0"/>
                    <w:pageBreakBefore w:val="0"/>
                    <w:widowControl w:val="0"/>
                    <w:kinsoku/>
                    <w:wordWrap/>
                    <w:overflowPunct/>
                    <w:topLinePunct w:val="0"/>
                    <w:autoSpaceDE/>
                    <w:autoSpaceDN/>
                    <w:bidi w:val="0"/>
                    <w:adjustRightInd/>
                    <w:snapToGrid/>
                    <w:spacing w:after="0" w:line="340" w:lineRule="exact"/>
                    <w:ind w:left="-42" w:leftChars="-20" w:right="-42" w:rightChars="-20" w:firstLine="0" w:firstLineChars="0"/>
                    <w:jc w:val="center"/>
                    <w:textAlignment w:val="auto"/>
                    <w:rPr>
                      <w:rFonts w:hint="eastAsia" w:ascii="Times New Roman" w:hAnsi="Times New Roman" w:eastAsia="宋体" w:cs="Times New Roman"/>
                      <w:caps w:val="0"/>
                      <w:smallCaps w:val="0"/>
                      <w:color w:val="auto"/>
                      <w:w w:val="100"/>
                      <w:kern w:val="2"/>
                      <w:sz w:val="21"/>
                      <w:szCs w:val="24"/>
                      <w:highlight w:val="none"/>
                      <w:lang w:val="en-US" w:eastAsia="zh-CN" w:bidi="ar-SA"/>
                    </w:rPr>
                  </w:pPr>
                  <w:r>
                    <w:rPr>
                      <w:rFonts w:hint="eastAsia" w:ascii="Times New Roman" w:hAnsi="Times New Roman"/>
                      <w:caps w:val="0"/>
                      <w:smallCaps w:val="0"/>
                      <w:color w:val="auto"/>
                      <w:w w:val="100"/>
                      <w:sz w:val="21"/>
                      <w:szCs w:val="21"/>
                      <w:highlight w:val="none"/>
                      <w:vertAlign w:val="baseline"/>
                      <w:lang w:val="en-US" w:eastAsia="zh-CN"/>
                    </w:rPr>
                    <w:t>大气、水</w:t>
                  </w:r>
                </w:p>
              </w:tc>
            </w:tr>
          </w:tbl>
          <w:p>
            <w:pPr>
              <w:pStyle w:val="7"/>
              <w:pageBreakBefore w:val="0"/>
              <w:kinsoku/>
              <w:wordWrap/>
              <w:overflowPunct/>
              <w:topLinePunct w:val="0"/>
              <w:bidi w:val="0"/>
              <w:snapToGrid/>
              <w:spacing w:line="480" w:lineRule="exact"/>
              <w:rPr>
                <w:rFonts w:hint="eastAsia" w:ascii="Times New Roman" w:hAnsi="Times New Roman"/>
                <w:color w:val="auto"/>
                <w:w w:val="100"/>
                <w:sz w:val="24"/>
                <w:szCs w:val="24"/>
                <w:highlight w:val="none"/>
                <w:lang w:val="en-US" w:eastAsia="zh-CN"/>
              </w:rPr>
            </w:pPr>
            <w:r>
              <w:rPr>
                <w:rFonts w:hint="eastAsia" w:ascii="Times New Roman" w:hAnsi="Times New Roman"/>
                <w:color w:val="auto"/>
                <w:w w:val="100"/>
                <w:sz w:val="24"/>
                <w:szCs w:val="24"/>
                <w:highlight w:val="none"/>
                <w:lang w:val="en-US" w:eastAsia="zh-CN"/>
              </w:rPr>
              <w:t>（3）环境风险分析</w:t>
            </w:r>
          </w:p>
          <w:p>
            <w:pPr>
              <w:pStyle w:val="77"/>
              <w:keepNext w:val="0"/>
              <w:keepLines w:val="0"/>
              <w:pageBreakBefore w:val="0"/>
              <w:widowControl w:val="0"/>
              <w:kinsoku/>
              <w:wordWrap/>
              <w:overflowPunct/>
              <w:topLinePunct w:val="0"/>
              <w:autoSpaceDE w:val="0"/>
              <w:autoSpaceDN w:val="0"/>
              <w:bidi w:val="0"/>
              <w:adjustRightInd w:val="0"/>
              <w:snapToGrid/>
              <w:spacing w:before="0" w:after="0" w:line="480" w:lineRule="exact"/>
              <w:ind w:firstLine="480" w:firstLineChars="200"/>
              <w:textAlignment w:val="auto"/>
              <w:rPr>
                <w:rFonts w:hint="eastAsia" w:ascii="Times New Roman" w:hAnsi="Times New Roman" w:eastAsia="宋体" w:cs="宋体"/>
                <w:caps w:val="0"/>
                <w:smallCaps w:val="0"/>
                <w:color w:val="auto"/>
                <w:w w:val="100"/>
                <w:sz w:val="24"/>
                <w:szCs w:val="24"/>
                <w:highlight w:val="none"/>
                <w:lang w:val="en-US" w:eastAsia="zh-CN"/>
              </w:rPr>
            </w:pPr>
            <w:r>
              <w:rPr>
                <w:rFonts w:hint="eastAsia" w:ascii="Times New Roman" w:hAnsi="Times New Roman" w:eastAsia="宋体" w:cs="宋体"/>
                <w:caps w:val="0"/>
                <w:smallCaps w:val="0"/>
                <w:color w:val="auto"/>
                <w:w w:val="100"/>
                <w:sz w:val="24"/>
                <w:szCs w:val="24"/>
                <w:highlight w:val="none"/>
                <w:lang w:val="en-US" w:eastAsia="zh-CN"/>
              </w:rPr>
              <w:t>丙烷罐等单独存放；润滑油、液压油、切削液设置单独存放区，废润滑油、废液压油、废切削液储存在危废暂存间，油类存放区、丙烷罐存放区及危废暂存间地面均做防渗，且油类物质存放区、危废暂存间均设有防渗托盘，泄漏对水体基本没有影响；由于本项目润滑油、液压油、切削液用量很小，</w:t>
            </w:r>
          </w:p>
          <w:p>
            <w:pPr>
              <w:widowControl/>
              <w:spacing w:line="480" w:lineRule="exact"/>
              <w:ind w:firstLine="480" w:firstLineChars="200"/>
              <w:rPr>
                <w:color w:val="auto"/>
                <w:sz w:val="24"/>
                <w:highlight w:val="none"/>
                <w:lang w:bidi="ar"/>
              </w:rPr>
            </w:pPr>
            <w:r>
              <w:rPr>
                <w:color w:val="auto"/>
                <w:sz w:val="24"/>
                <w:highlight w:val="none"/>
                <w:lang w:bidi="ar"/>
              </w:rPr>
              <w:t>本项目涉及的风险物质主要是</w:t>
            </w:r>
            <w:r>
              <w:rPr>
                <w:rFonts w:hint="eastAsia" w:ascii="Times New Roman" w:hAnsi="Times New Roman" w:eastAsia="宋体" w:cs="宋体"/>
                <w:caps w:val="0"/>
                <w:smallCaps w:val="0"/>
                <w:color w:val="auto"/>
                <w:w w:val="100"/>
                <w:sz w:val="24"/>
                <w:szCs w:val="24"/>
                <w:highlight w:val="none"/>
                <w:lang w:val="en-US" w:eastAsia="zh-CN"/>
              </w:rPr>
              <w:t>润滑油、液压油、切削液</w:t>
            </w:r>
            <w:r>
              <w:rPr>
                <w:rFonts w:hint="eastAsia" w:cs="宋体"/>
                <w:caps w:val="0"/>
                <w:smallCaps w:val="0"/>
                <w:color w:val="auto"/>
                <w:w w:val="100"/>
                <w:sz w:val="24"/>
                <w:szCs w:val="24"/>
                <w:highlight w:val="none"/>
                <w:lang w:val="en-US" w:eastAsia="zh-CN"/>
              </w:rPr>
              <w:t>、</w:t>
            </w:r>
            <w:r>
              <w:rPr>
                <w:rFonts w:hint="eastAsia" w:ascii="Times New Roman" w:hAnsi="Times New Roman" w:eastAsia="宋体" w:cs="宋体"/>
                <w:caps w:val="0"/>
                <w:smallCaps w:val="0"/>
                <w:color w:val="auto"/>
                <w:w w:val="100"/>
                <w:sz w:val="24"/>
                <w:szCs w:val="24"/>
                <w:highlight w:val="none"/>
                <w:lang w:val="en-US" w:eastAsia="zh-CN"/>
              </w:rPr>
              <w:t>废润滑油、废液压油、废切削液</w:t>
            </w:r>
            <w:r>
              <w:rPr>
                <w:rFonts w:hint="eastAsia" w:cs="宋体"/>
                <w:caps w:val="0"/>
                <w:smallCaps w:val="0"/>
                <w:color w:val="auto"/>
                <w:w w:val="100"/>
                <w:sz w:val="24"/>
                <w:szCs w:val="24"/>
                <w:highlight w:val="none"/>
                <w:lang w:val="en-US" w:eastAsia="zh-CN"/>
              </w:rPr>
              <w:t>、丙烷</w:t>
            </w:r>
            <w:r>
              <w:rPr>
                <w:color w:val="auto"/>
                <w:sz w:val="24"/>
                <w:highlight w:val="none"/>
                <w:lang w:bidi="ar"/>
              </w:rPr>
              <w:t>，储存量较小，结合本项目特点，</w:t>
            </w:r>
            <w:r>
              <w:rPr>
                <w:rFonts w:hint="eastAsia"/>
                <w:color w:val="auto"/>
                <w:sz w:val="24"/>
                <w:highlight w:val="none"/>
                <w:lang w:bidi="ar"/>
              </w:rPr>
              <w:t>油类物质</w:t>
            </w:r>
            <w:r>
              <w:rPr>
                <w:color w:val="auto"/>
                <w:sz w:val="24"/>
                <w:highlight w:val="none"/>
                <w:lang w:bidi="ar"/>
              </w:rPr>
              <w:t>在储存过程中一</w:t>
            </w:r>
            <w:r>
              <w:rPr>
                <w:rFonts w:hint="eastAsia"/>
                <w:color w:val="auto"/>
                <w:sz w:val="24"/>
                <w:highlight w:val="none"/>
                <w:lang w:bidi="ar"/>
              </w:rPr>
              <w:t>旦</w:t>
            </w:r>
            <w:r>
              <w:rPr>
                <w:color w:val="auto"/>
                <w:sz w:val="24"/>
                <w:highlight w:val="none"/>
                <w:lang w:bidi="ar"/>
              </w:rPr>
              <w:t>发生泄漏将会污染地下水环境</w:t>
            </w:r>
            <w:r>
              <w:rPr>
                <w:rFonts w:hint="eastAsia"/>
                <w:color w:val="auto"/>
                <w:sz w:val="24"/>
                <w:highlight w:val="none"/>
                <w:lang w:bidi="ar"/>
              </w:rPr>
              <w:t>；</w:t>
            </w:r>
            <w:r>
              <w:rPr>
                <w:rFonts w:hint="eastAsia"/>
                <w:color w:val="auto"/>
                <w:sz w:val="24"/>
                <w:highlight w:val="none"/>
                <w:lang w:eastAsia="zh-CN" w:bidi="ar"/>
              </w:rPr>
              <w:t>丙</w:t>
            </w:r>
            <w:r>
              <w:rPr>
                <w:rFonts w:hint="eastAsia"/>
                <w:color w:val="auto"/>
                <w:sz w:val="24"/>
                <w:highlight w:val="none"/>
                <w:lang w:bidi="ar"/>
              </w:rPr>
              <w:t>烷一旦发生泄露、火灾，会对大气造成一定影响</w:t>
            </w:r>
            <w:r>
              <w:rPr>
                <w:color w:val="auto"/>
                <w:sz w:val="24"/>
                <w:highlight w:val="none"/>
                <w:lang w:bidi="ar"/>
              </w:rPr>
              <w:t>。</w:t>
            </w:r>
          </w:p>
          <w:p>
            <w:pPr>
              <w:widowControl/>
              <w:spacing w:line="480" w:lineRule="exact"/>
              <w:ind w:firstLine="480" w:firstLineChars="200"/>
              <w:rPr>
                <w:color w:val="auto"/>
                <w:sz w:val="24"/>
                <w:highlight w:val="none"/>
                <w:lang w:bidi="ar"/>
              </w:rPr>
            </w:pPr>
            <w:r>
              <w:rPr>
                <w:color w:val="auto"/>
                <w:sz w:val="24"/>
                <w:highlight w:val="none"/>
                <w:lang w:bidi="ar"/>
              </w:rPr>
              <w:t>本项目</w:t>
            </w:r>
            <w:r>
              <w:rPr>
                <w:rFonts w:hint="eastAsia" w:ascii="Times New Roman" w:hAnsi="Times New Roman" w:eastAsia="宋体" w:cs="宋体"/>
                <w:caps w:val="0"/>
                <w:smallCaps w:val="0"/>
                <w:color w:val="auto"/>
                <w:w w:val="100"/>
                <w:sz w:val="24"/>
                <w:szCs w:val="24"/>
                <w:highlight w:val="none"/>
                <w:lang w:val="en-US" w:eastAsia="zh-CN"/>
              </w:rPr>
              <w:t>润滑油、液压油、切削液</w:t>
            </w:r>
            <w:r>
              <w:rPr>
                <w:color w:val="auto"/>
                <w:sz w:val="24"/>
                <w:highlight w:val="none"/>
                <w:lang w:bidi="ar"/>
              </w:rPr>
              <w:t>均为铁桶装</w:t>
            </w:r>
            <w:r>
              <w:rPr>
                <w:rFonts w:hint="eastAsia"/>
                <w:color w:val="auto"/>
                <w:sz w:val="24"/>
                <w:highlight w:val="none"/>
                <w:lang w:eastAsia="zh-CN" w:bidi="ar"/>
              </w:rPr>
              <w:t>，存放区下部设置托盘；</w:t>
            </w:r>
            <w:r>
              <w:rPr>
                <w:rFonts w:hint="eastAsia" w:ascii="Times New Roman" w:hAnsi="Times New Roman" w:eastAsia="宋体" w:cs="宋体"/>
                <w:caps w:val="0"/>
                <w:smallCaps w:val="0"/>
                <w:color w:val="auto"/>
                <w:w w:val="100"/>
                <w:sz w:val="24"/>
                <w:szCs w:val="24"/>
                <w:highlight w:val="none"/>
                <w:lang w:val="en-US" w:eastAsia="zh-CN"/>
              </w:rPr>
              <w:t>废润滑油、废液压油、废切削液</w:t>
            </w:r>
            <w:r>
              <w:rPr>
                <w:color w:val="auto"/>
                <w:sz w:val="24"/>
                <w:highlight w:val="none"/>
                <w:lang w:bidi="ar"/>
              </w:rPr>
              <w:t>储存在密封铁桶中</w:t>
            </w:r>
            <w:r>
              <w:rPr>
                <w:rFonts w:hint="eastAsia"/>
                <w:color w:val="auto"/>
                <w:sz w:val="24"/>
                <w:highlight w:val="none"/>
                <w:lang w:eastAsia="zh-CN" w:bidi="ar"/>
              </w:rPr>
              <w:t>，储存于危废暂存间</w:t>
            </w:r>
            <w:r>
              <w:rPr>
                <w:color w:val="auto"/>
                <w:sz w:val="24"/>
                <w:highlight w:val="none"/>
                <w:lang w:bidi="ar"/>
              </w:rPr>
              <w:t>，</w:t>
            </w:r>
            <w:r>
              <w:rPr>
                <w:rFonts w:hint="eastAsia"/>
                <w:color w:val="auto"/>
                <w:sz w:val="24"/>
                <w:highlight w:val="none"/>
                <w:lang w:eastAsia="zh-CN" w:bidi="ar"/>
              </w:rPr>
              <w:t>危废暂存间内设置托盘；</w:t>
            </w:r>
            <w:r>
              <w:rPr>
                <w:color w:val="auto"/>
                <w:sz w:val="24"/>
                <w:highlight w:val="none"/>
                <w:lang w:bidi="ar"/>
              </w:rPr>
              <w:t>泄漏可能性很小</w:t>
            </w:r>
            <w:r>
              <w:rPr>
                <w:rFonts w:hint="eastAsia"/>
                <w:color w:val="auto"/>
                <w:sz w:val="24"/>
                <w:highlight w:val="none"/>
                <w:lang w:eastAsia="zh-CN" w:bidi="ar"/>
              </w:rPr>
              <w:t>。丙烷</w:t>
            </w:r>
            <w:r>
              <w:rPr>
                <w:rFonts w:hint="eastAsia"/>
                <w:color w:val="auto"/>
                <w:sz w:val="24"/>
                <w:highlight w:val="none"/>
                <w:lang w:bidi="ar"/>
              </w:rPr>
              <w:t>罐</w:t>
            </w:r>
            <w:r>
              <w:rPr>
                <w:rFonts w:hint="eastAsia"/>
                <w:color w:val="auto"/>
                <w:sz w:val="24"/>
                <w:highlight w:val="none"/>
                <w:lang w:eastAsia="zh-CN" w:bidi="ar"/>
              </w:rPr>
              <w:t>运输</w:t>
            </w:r>
            <w:r>
              <w:rPr>
                <w:rFonts w:hint="eastAsia"/>
                <w:color w:val="auto"/>
                <w:sz w:val="24"/>
                <w:highlight w:val="none"/>
                <w:lang w:bidi="ar"/>
              </w:rPr>
              <w:t>委托有资质的单位管理，</w:t>
            </w:r>
            <w:r>
              <w:rPr>
                <w:rFonts w:hint="eastAsia"/>
                <w:color w:val="auto"/>
                <w:kern w:val="0"/>
                <w:sz w:val="24"/>
                <w:highlight w:val="none"/>
              </w:rPr>
              <w:t>并安装可燃气体检测报警装置，</w:t>
            </w:r>
            <w:r>
              <w:rPr>
                <w:rFonts w:hint="eastAsia"/>
                <w:color w:val="auto"/>
                <w:kern w:val="0"/>
                <w:sz w:val="24"/>
                <w:highlight w:val="none"/>
                <w:lang w:eastAsia="zh-CN"/>
              </w:rPr>
              <w:t>丙烷</w:t>
            </w:r>
            <w:r>
              <w:rPr>
                <w:rFonts w:hint="eastAsia"/>
                <w:color w:val="auto"/>
                <w:kern w:val="0"/>
                <w:sz w:val="24"/>
                <w:highlight w:val="none"/>
              </w:rPr>
              <w:t>罐周边按照规定设置消防设施，</w:t>
            </w:r>
            <w:r>
              <w:rPr>
                <w:rFonts w:hint="eastAsia"/>
                <w:color w:val="auto"/>
                <w:kern w:val="0"/>
                <w:sz w:val="24"/>
                <w:highlight w:val="none"/>
                <w:lang w:eastAsia="zh-CN"/>
              </w:rPr>
              <w:t>丙烷</w:t>
            </w:r>
            <w:r>
              <w:rPr>
                <w:rFonts w:hint="eastAsia"/>
                <w:color w:val="auto"/>
                <w:kern w:val="0"/>
                <w:sz w:val="24"/>
                <w:highlight w:val="none"/>
              </w:rPr>
              <w:t>发生泄漏、火灾的可能性减小</w:t>
            </w:r>
            <w:r>
              <w:rPr>
                <w:color w:val="auto"/>
                <w:sz w:val="24"/>
                <w:highlight w:val="none"/>
                <w:lang w:bidi="ar"/>
              </w:rPr>
              <w:t>。</w:t>
            </w:r>
          </w:p>
          <w:p>
            <w:pPr>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eastAsia" w:ascii="Times New Roman" w:hAnsi="Times New Roman" w:eastAsia="宋体"/>
                <w:color w:val="auto"/>
                <w:w w:val="100"/>
                <w:sz w:val="24"/>
                <w:szCs w:val="22"/>
                <w:highlight w:val="none"/>
                <w:lang w:eastAsia="zh-CN"/>
              </w:rPr>
            </w:pPr>
            <w:r>
              <w:rPr>
                <w:rFonts w:hint="eastAsia" w:ascii="Times New Roman" w:hAnsi="Times New Roman"/>
                <w:color w:val="auto"/>
                <w:w w:val="100"/>
                <w:sz w:val="24"/>
                <w:szCs w:val="22"/>
                <w:highlight w:val="none"/>
                <w:lang w:eastAsia="zh-CN"/>
              </w:rPr>
              <w:t>如油类物质</w:t>
            </w:r>
            <w:r>
              <w:rPr>
                <w:rFonts w:ascii="Times New Roman" w:hAnsi="Times New Roman"/>
                <w:color w:val="auto"/>
                <w:w w:val="100"/>
                <w:sz w:val="24"/>
                <w:szCs w:val="22"/>
                <w:highlight w:val="none"/>
              </w:rPr>
              <w:t>发生火灾</w:t>
            </w:r>
            <w:r>
              <w:rPr>
                <w:rFonts w:hint="eastAsia"/>
                <w:color w:val="auto"/>
                <w:w w:val="100"/>
                <w:sz w:val="24"/>
                <w:szCs w:val="22"/>
                <w:highlight w:val="none"/>
                <w:lang w:eastAsia="zh-CN"/>
              </w:rPr>
              <w:t>或丙烷发生火灾</w:t>
            </w:r>
            <w:r>
              <w:rPr>
                <w:rFonts w:ascii="Times New Roman" w:hAnsi="Times New Roman"/>
                <w:color w:val="auto"/>
                <w:w w:val="100"/>
                <w:sz w:val="24"/>
                <w:szCs w:val="22"/>
                <w:highlight w:val="none"/>
              </w:rPr>
              <w:t>后，使用干粉</w:t>
            </w:r>
            <w:r>
              <w:rPr>
                <w:rFonts w:hint="eastAsia" w:ascii="Times New Roman" w:hAnsi="Times New Roman"/>
                <w:color w:val="auto"/>
                <w:w w:val="100"/>
                <w:sz w:val="24"/>
                <w:szCs w:val="22"/>
                <w:highlight w:val="none"/>
                <w:lang w:eastAsia="zh-CN"/>
              </w:rPr>
              <w:t>或泡沫</w:t>
            </w:r>
            <w:r>
              <w:rPr>
                <w:rFonts w:ascii="Times New Roman" w:hAnsi="Times New Roman"/>
                <w:color w:val="auto"/>
                <w:w w:val="100"/>
                <w:sz w:val="24"/>
                <w:szCs w:val="22"/>
                <w:highlight w:val="none"/>
              </w:rPr>
              <w:t>灭火器灭火，</w:t>
            </w:r>
            <w:r>
              <w:rPr>
                <w:rFonts w:hint="eastAsia" w:ascii="Times New Roman" w:hAnsi="Times New Roman"/>
                <w:color w:val="auto"/>
                <w:w w:val="100"/>
                <w:sz w:val="24"/>
                <w:szCs w:val="22"/>
                <w:highlight w:val="none"/>
                <w:lang w:eastAsia="zh-CN"/>
              </w:rPr>
              <w:t>不会产生消防废水。灭火后，消防废物作为危废，委托有资质单位处理</w:t>
            </w:r>
            <w:r>
              <w:rPr>
                <w:rFonts w:ascii="Times New Roman" w:hAnsi="Times New Roman"/>
                <w:color w:val="auto"/>
                <w:w w:val="100"/>
                <w:sz w:val="24"/>
                <w:szCs w:val="22"/>
                <w:highlight w:val="none"/>
              </w:rPr>
              <w:t>。</w:t>
            </w:r>
          </w:p>
          <w:p>
            <w:pPr>
              <w:pStyle w:val="77"/>
              <w:keepNext w:val="0"/>
              <w:keepLines w:val="0"/>
              <w:pageBreakBefore w:val="0"/>
              <w:widowControl w:val="0"/>
              <w:kinsoku/>
              <w:wordWrap/>
              <w:overflowPunct/>
              <w:topLinePunct w:val="0"/>
              <w:autoSpaceDE w:val="0"/>
              <w:autoSpaceDN w:val="0"/>
              <w:bidi w:val="0"/>
              <w:adjustRightInd w:val="0"/>
              <w:snapToGrid/>
              <w:spacing w:before="0" w:after="0" w:line="480" w:lineRule="exact"/>
              <w:ind w:firstLine="480" w:firstLineChars="200"/>
              <w:textAlignment w:val="auto"/>
              <w:rPr>
                <w:rFonts w:hint="default" w:ascii="Times New Roman" w:hAnsi="Times New Roman" w:eastAsia="宋体" w:cs="宋体"/>
                <w:caps w:val="0"/>
                <w:smallCaps w:val="0"/>
                <w:color w:val="auto"/>
                <w:w w:val="100"/>
                <w:sz w:val="24"/>
                <w:szCs w:val="24"/>
                <w:highlight w:val="none"/>
                <w:lang w:val="en-US" w:eastAsia="zh-CN"/>
              </w:rPr>
            </w:pPr>
            <w:r>
              <w:rPr>
                <w:rFonts w:hint="default" w:ascii="Times New Roman" w:hAnsi="Times New Roman" w:eastAsia="宋体" w:cs="宋体"/>
                <w:caps w:val="0"/>
                <w:smallCaps w:val="0"/>
                <w:color w:val="auto"/>
                <w:w w:val="100"/>
                <w:sz w:val="24"/>
                <w:szCs w:val="24"/>
                <w:highlight w:val="none"/>
                <w:lang w:val="en-US" w:eastAsia="zh-CN"/>
              </w:rPr>
              <w:t>评价要求在发生泄漏或</w:t>
            </w:r>
            <w:r>
              <w:rPr>
                <w:rFonts w:hint="eastAsia" w:ascii="Times New Roman" w:hAnsi="Times New Roman" w:eastAsia="宋体" w:cs="宋体"/>
                <w:caps w:val="0"/>
                <w:smallCaps w:val="0"/>
                <w:color w:val="auto"/>
                <w:w w:val="100"/>
                <w:sz w:val="24"/>
                <w:szCs w:val="24"/>
                <w:highlight w:val="none"/>
                <w:lang w:val="en-US" w:eastAsia="zh-CN"/>
              </w:rPr>
              <w:t>火灾事故后</w:t>
            </w:r>
            <w:r>
              <w:rPr>
                <w:rFonts w:hint="default" w:ascii="Times New Roman" w:hAnsi="Times New Roman" w:eastAsia="宋体" w:cs="宋体"/>
                <w:caps w:val="0"/>
                <w:smallCaps w:val="0"/>
                <w:color w:val="auto"/>
                <w:w w:val="100"/>
                <w:sz w:val="24"/>
                <w:szCs w:val="24"/>
                <w:highlight w:val="none"/>
                <w:lang w:val="en-US" w:eastAsia="zh-CN"/>
              </w:rPr>
              <w:t>，</w:t>
            </w:r>
            <w:r>
              <w:rPr>
                <w:rFonts w:hint="eastAsia" w:ascii="Times New Roman" w:hAnsi="Times New Roman" w:eastAsia="宋体" w:cs="宋体"/>
                <w:caps w:val="0"/>
                <w:smallCaps w:val="0"/>
                <w:color w:val="auto"/>
                <w:w w:val="100"/>
                <w:sz w:val="24"/>
                <w:szCs w:val="24"/>
                <w:highlight w:val="none"/>
                <w:lang w:val="en-US" w:eastAsia="zh-CN"/>
              </w:rPr>
              <w:t>如发生其他此生灾害，</w:t>
            </w:r>
            <w:r>
              <w:rPr>
                <w:rFonts w:hint="default" w:ascii="Times New Roman" w:hAnsi="Times New Roman" w:eastAsia="宋体" w:cs="宋体"/>
                <w:caps w:val="0"/>
                <w:smallCaps w:val="0"/>
                <w:color w:val="auto"/>
                <w:w w:val="100"/>
                <w:sz w:val="24"/>
                <w:szCs w:val="24"/>
                <w:highlight w:val="none"/>
                <w:lang w:val="en-US" w:eastAsia="zh-CN"/>
              </w:rPr>
              <w:t>应做好应急监测工作，根据当时的气象条件及事故情况，立即派分析人员到环境敏感点，监测空气中特征污染因子的浓度，并做好紧急疏散工作。</w:t>
            </w:r>
          </w:p>
          <w:p>
            <w:pPr>
              <w:pStyle w:val="7"/>
              <w:pageBreakBefore w:val="0"/>
              <w:widowControl w:val="0"/>
              <w:kinsoku/>
              <w:wordWrap/>
              <w:overflowPunct/>
              <w:topLinePunct w:val="0"/>
              <w:autoSpaceDE/>
              <w:autoSpaceDN/>
              <w:bidi w:val="0"/>
              <w:snapToGrid/>
              <w:spacing w:line="480" w:lineRule="exact"/>
              <w:rPr>
                <w:rFonts w:hint="eastAsia" w:ascii="Times New Roman" w:hAnsi="Times New Roman"/>
                <w:color w:val="auto"/>
                <w:w w:val="100"/>
                <w:sz w:val="24"/>
                <w:szCs w:val="24"/>
                <w:highlight w:val="none"/>
                <w:lang w:val="en-US" w:eastAsia="zh-CN"/>
              </w:rPr>
            </w:pPr>
            <w:r>
              <w:rPr>
                <w:rFonts w:hint="eastAsia" w:ascii="Times New Roman" w:hAnsi="Times New Roman"/>
                <w:color w:val="auto"/>
                <w:w w:val="100"/>
                <w:sz w:val="24"/>
                <w:szCs w:val="24"/>
                <w:highlight w:val="none"/>
                <w:lang w:val="en-US" w:eastAsia="zh-CN"/>
              </w:rPr>
              <w:t>（4）</w:t>
            </w:r>
            <w:r>
              <w:rPr>
                <w:rFonts w:hint="eastAsia" w:ascii="Times New Roman" w:hAnsi="Times New Roman"/>
                <w:b w:val="0"/>
                <w:bCs w:val="0"/>
                <w:caps w:val="0"/>
                <w:smallCaps w:val="0"/>
                <w:color w:val="auto"/>
                <w:w w:val="100"/>
                <w:sz w:val="24"/>
                <w:szCs w:val="24"/>
                <w:highlight w:val="none"/>
                <w:lang w:val="en-US" w:eastAsia="zh-CN"/>
              </w:rPr>
              <w:t>风险防范措施</w:t>
            </w:r>
          </w:p>
          <w:p>
            <w:pPr>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outlineLvl w:val="9"/>
              <w:rPr>
                <w:rFonts w:ascii="Times New Roman" w:hAnsi="Times New Roman"/>
                <w:b w:val="0"/>
                <w:bCs w:val="0"/>
                <w:caps w:val="0"/>
                <w:smallCaps w:val="0"/>
                <w:color w:val="auto"/>
                <w:w w:val="100"/>
                <w:sz w:val="24"/>
                <w:szCs w:val="24"/>
                <w:highlight w:val="none"/>
              </w:rPr>
            </w:pPr>
            <w:r>
              <w:rPr>
                <w:rFonts w:hint="eastAsia" w:ascii="Times New Roman" w:hAnsi="Times New Roman"/>
                <w:b w:val="0"/>
                <w:bCs w:val="0"/>
                <w:caps w:val="0"/>
                <w:smallCaps w:val="0"/>
                <w:color w:val="auto"/>
                <w:w w:val="100"/>
                <w:sz w:val="24"/>
                <w:szCs w:val="24"/>
                <w:highlight w:val="none"/>
              </w:rPr>
              <w:fldChar w:fldCharType="begin"/>
            </w:r>
            <w:r>
              <w:rPr>
                <w:rFonts w:hint="eastAsia" w:ascii="Times New Roman" w:hAnsi="Times New Roman"/>
                <w:b w:val="0"/>
                <w:bCs w:val="0"/>
                <w:caps w:val="0"/>
                <w:smallCaps w:val="0"/>
                <w:color w:val="auto"/>
                <w:w w:val="100"/>
                <w:sz w:val="24"/>
                <w:szCs w:val="24"/>
                <w:highlight w:val="none"/>
              </w:rPr>
              <w:instrText xml:space="preserve"> = 1 \* GB3 \* MERGEFORMAT </w:instrText>
            </w:r>
            <w:r>
              <w:rPr>
                <w:rFonts w:hint="eastAsia" w:ascii="Times New Roman" w:hAnsi="Times New Roman"/>
                <w:b w:val="0"/>
                <w:bCs w:val="0"/>
                <w:caps w:val="0"/>
                <w:smallCaps w:val="0"/>
                <w:color w:val="auto"/>
                <w:w w:val="100"/>
                <w:sz w:val="24"/>
                <w:szCs w:val="24"/>
                <w:highlight w:val="none"/>
              </w:rPr>
              <w:fldChar w:fldCharType="separate"/>
            </w:r>
            <w:r>
              <w:rPr>
                <w:rFonts w:hint="eastAsia" w:ascii="Times New Roman" w:hAnsi="Times New Roman"/>
                <w:b w:val="0"/>
                <w:bCs w:val="0"/>
                <w:caps w:val="0"/>
                <w:smallCaps w:val="0"/>
                <w:color w:val="auto"/>
                <w:w w:val="100"/>
                <w:sz w:val="24"/>
                <w:szCs w:val="24"/>
                <w:highlight w:val="none"/>
              </w:rPr>
              <w:t>①</w:t>
            </w:r>
            <w:r>
              <w:rPr>
                <w:rFonts w:hint="eastAsia" w:ascii="Times New Roman" w:hAnsi="Times New Roman"/>
                <w:b w:val="0"/>
                <w:bCs w:val="0"/>
                <w:caps w:val="0"/>
                <w:smallCaps w:val="0"/>
                <w:color w:val="auto"/>
                <w:w w:val="100"/>
                <w:sz w:val="24"/>
                <w:szCs w:val="24"/>
                <w:highlight w:val="none"/>
              </w:rPr>
              <w:fldChar w:fldCharType="end"/>
            </w:r>
            <w:r>
              <w:rPr>
                <w:rFonts w:hint="eastAsia" w:ascii="Times New Roman" w:hAnsi="Times New Roman" w:eastAsia="宋体" w:cs="宋体"/>
                <w:caps w:val="0"/>
                <w:smallCaps w:val="0"/>
                <w:color w:val="auto"/>
                <w:w w:val="100"/>
                <w:sz w:val="24"/>
                <w:szCs w:val="24"/>
                <w:highlight w:val="none"/>
                <w:lang w:val="en-US" w:eastAsia="zh-CN"/>
              </w:rPr>
              <w:t>润滑油、液压油、切削液</w:t>
            </w:r>
            <w:r>
              <w:rPr>
                <w:rFonts w:hint="eastAsia" w:ascii="Times New Roman" w:hAnsi="Times New Roman"/>
                <w:b w:val="0"/>
                <w:bCs w:val="0"/>
                <w:caps w:val="0"/>
                <w:smallCaps w:val="0"/>
                <w:color w:val="auto"/>
                <w:w w:val="100"/>
                <w:sz w:val="24"/>
                <w:szCs w:val="24"/>
                <w:highlight w:val="none"/>
                <w:lang w:eastAsia="zh-CN"/>
              </w:rPr>
              <w:t>储存区</w:t>
            </w:r>
            <w:r>
              <w:rPr>
                <w:rFonts w:hint="eastAsia" w:ascii="Times New Roman" w:hAnsi="Times New Roman"/>
                <w:b w:val="0"/>
                <w:bCs w:val="0"/>
                <w:caps w:val="0"/>
                <w:smallCaps w:val="0"/>
                <w:color w:val="auto"/>
                <w:w w:val="100"/>
                <w:sz w:val="24"/>
                <w:szCs w:val="24"/>
                <w:highlight w:val="none"/>
              </w:rPr>
              <w:t>：</w:t>
            </w:r>
            <w:r>
              <w:rPr>
                <w:rFonts w:hint="eastAsia" w:ascii="Times New Roman" w:hAnsi="Times New Roman" w:eastAsia="宋体" w:cs="宋体"/>
                <w:caps w:val="0"/>
                <w:smallCaps w:val="0"/>
                <w:color w:val="auto"/>
                <w:w w:val="100"/>
                <w:sz w:val="24"/>
                <w:szCs w:val="24"/>
                <w:highlight w:val="none"/>
                <w:lang w:val="en-US" w:eastAsia="zh-CN"/>
              </w:rPr>
              <w:t>润滑油、液压油、切削液</w:t>
            </w:r>
            <w:r>
              <w:rPr>
                <w:rFonts w:hint="eastAsia" w:cs="宋体"/>
                <w:caps w:val="0"/>
                <w:smallCaps w:val="0"/>
                <w:color w:val="auto"/>
                <w:w w:val="100"/>
                <w:sz w:val="24"/>
                <w:szCs w:val="24"/>
                <w:highlight w:val="none"/>
                <w:lang w:val="en-US" w:eastAsia="zh-CN"/>
              </w:rPr>
              <w:t>存放</w:t>
            </w:r>
            <w:r>
              <w:rPr>
                <w:rFonts w:hint="eastAsia" w:ascii="Times New Roman" w:hAnsi="Times New Roman"/>
                <w:b w:val="0"/>
                <w:bCs w:val="0"/>
                <w:caps w:val="0"/>
                <w:smallCaps w:val="0"/>
                <w:color w:val="auto"/>
                <w:w w:val="100"/>
                <w:sz w:val="24"/>
                <w:szCs w:val="24"/>
                <w:highlight w:val="none"/>
              </w:rPr>
              <w:t>区设置托盘，将所有桶装</w:t>
            </w:r>
            <w:r>
              <w:rPr>
                <w:rFonts w:hint="eastAsia" w:ascii="Times New Roman" w:hAnsi="Times New Roman" w:eastAsia="宋体" w:cs="宋体"/>
                <w:caps w:val="0"/>
                <w:smallCaps w:val="0"/>
                <w:color w:val="auto"/>
                <w:w w:val="100"/>
                <w:sz w:val="24"/>
                <w:szCs w:val="24"/>
                <w:highlight w:val="none"/>
                <w:lang w:val="en-US" w:eastAsia="zh-CN"/>
              </w:rPr>
              <w:t>润滑油、液压油、切削液</w:t>
            </w:r>
            <w:r>
              <w:rPr>
                <w:rFonts w:hint="eastAsia" w:ascii="Times New Roman" w:hAnsi="Times New Roman"/>
                <w:b w:val="0"/>
                <w:bCs w:val="0"/>
                <w:caps w:val="0"/>
                <w:smallCaps w:val="0"/>
                <w:color w:val="auto"/>
                <w:w w:val="100"/>
                <w:sz w:val="24"/>
                <w:szCs w:val="24"/>
                <w:highlight w:val="none"/>
              </w:rPr>
              <w:t>置于托盘内，托盘有效容积0.</w:t>
            </w:r>
            <w:r>
              <w:rPr>
                <w:rFonts w:hint="eastAsia" w:ascii="Times New Roman" w:hAnsi="Times New Roman"/>
                <w:b w:val="0"/>
                <w:bCs w:val="0"/>
                <w:caps w:val="0"/>
                <w:smallCaps w:val="0"/>
                <w:color w:val="auto"/>
                <w:w w:val="100"/>
                <w:sz w:val="24"/>
                <w:szCs w:val="24"/>
                <w:highlight w:val="none"/>
                <w:lang w:val="en-US" w:eastAsia="zh-CN"/>
              </w:rPr>
              <w:t>2</w:t>
            </w:r>
            <w:r>
              <w:rPr>
                <w:rFonts w:hint="eastAsia" w:ascii="Times New Roman" w:hAnsi="Times New Roman"/>
                <w:b w:val="0"/>
                <w:bCs w:val="0"/>
                <w:caps w:val="0"/>
                <w:smallCaps w:val="0"/>
                <w:color w:val="auto"/>
                <w:w w:val="100"/>
                <w:sz w:val="24"/>
                <w:szCs w:val="24"/>
                <w:highlight w:val="none"/>
              </w:rPr>
              <w:t>m</w:t>
            </w:r>
            <w:r>
              <w:rPr>
                <w:rFonts w:hint="eastAsia" w:ascii="Times New Roman" w:hAnsi="Times New Roman"/>
                <w:b w:val="0"/>
                <w:bCs w:val="0"/>
                <w:caps w:val="0"/>
                <w:smallCaps w:val="0"/>
                <w:color w:val="auto"/>
                <w:w w:val="100"/>
                <w:sz w:val="24"/>
                <w:szCs w:val="24"/>
                <w:highlight w:val="none"/>
                <w:vertAlign w:val="superscript"/>
              </w:rPr>
              <w:t>3</w:t>
            </w:r>
            <w:r>
              <w:rPr>
                <w:rFonts w:hint="eastAsia" w:ascii="Times New Roman" w:hAnsi="Times New Roman"/>
                <w:b w:val="0"/>
                <w:bCs w:val="0"/>
                <w:caps w:val="0"/>
                <w:smallCaps w:val="0"/>
                <w:color w:val="auto"/>
                <w:w w:val="100"/>
                <w:sz w:val="24"/>
                <w:szCs w:val="24"/>
                <w:highlight w:val="none"/>
              </w:rPr>
              <w:t>，可容纳</w:t>
            </w:r>
            <w:r>
              <w:rPr>
                <w:rFonts w:hint="eastAsia" w:ascii="Times New Roman" w:hAnsi="Times New Roman"/>
                <w:b w:val="0"/>
                <w:bCs w:val="0"/>
                <w:caps w:val="0"/>
                <w:smallCaps w:val="0"/>
                <w:color w:val="auto"/>
                <w:w w:val="100"/>
                <w:sz w:val="24"/>
                <w:szCs w:val="24"/>
                <w:highlight w:val="none"/>
                <w:lang w:eastAsia="zh-CN"/>
              </w:rPr>
              <w:t>单个油桶</w:t>
            </w:r>
            <w:r>
              <w:rPr>
                <w:rFonts w:hint="eastAsia" w:ascii="Times New Roman" w:hAnsi="Times New Roman"/>
                <w:b w:val="0"/>
                <w:bCs w:val="0"/>
                <w:caps w:val="0"/>
                <w:smallCaps w:val="0"/>
                <w:color w:val="auto"/>
                <w:w w:val="100"/>
                <w:sz w:val="24"/>
                <w:szCs w:val="24"/>
                <w:highlight w:val="none"/>
              </w:rPr>
              <w:t>全部</w:t>
            </w:r>
            <w:r>
              <w:rPr>
                <w:rFonts w:hint="eastAsia" w:ascii="Times New Roman" w:hAnsi="Times New Roman"/>
                <w:b w:val="0"/>
                <w:bCs w:val="0"/>
                <w:caps w:val="0"/>
                <w:smallCaps w:val="0"/>
                <w:color w:val="auto"/>
                <w:w w:val="100"/>
                <w:sz w:val="24"/>
                <w:szCs w:val="24"/>
                <w:highlight w:val="none"/>
                <w:lang w:eastAsia="zh-CN"/>
              </w:rPr>
              <w:t>泄漏</w:t>
            </w:r>
            <w:r>
              <w:rPr>
                <w:rFonts w:hint="eastAsia" w:ascii="Times New Roman" w:hAnsi="Times New Roman"/>
                <w:b w:val="0"/>
                <w:bCs w:val="0"/>
                <w:caps w:val="0"/>
                <w:smallCaps w:val="0"/>
                <w:color w:val="auto"/>
                <w:w w:val="100"/>
                <w:sz w:val="24"/>
                <w:szCs w:val="24"/>
                <w:highlight w:val="none"/>
              </w:rPr>
              <w:t>物料。</w:t>
            </w:r>
          </w:p>
          <w:p>
            <w:pPr>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outlineLvl w:val="9"/>
              <w:rPr>
                <w:rFonts w:hint="eastAsia" w:ascii="Times New Roman" w:hAnsi="Times New Roman"/>
                <w:b w:val="0"/>
                <w:bCs w:val="0"/>
                <w:caps w:val="0"/>
                <w:smallCaps w:val="0"/>
                <w:color w:val="auto"/>
                <w:w w:val="100"/>
                <w:sz w:val="24"/>
                <w:szCs w:val="24"/>
                <w:highlight w:val="none"/>
                <w:lang w:eastAsia="zh-CN"/>
              </w:rPr>
            </w:pPr>
            <w:r>
              <w:rPr>
                <w:rFonts w:hint="eastAsia" w:ascii="Times New Roman" w:hAnsi="Times New Roman"/>
                <w:b w:val="0"/>
                <w:bCs w:val="0"/>
                <w:caps w:val="0"/>
                <w:smallCaps w:val="0"/>
                <w:color w:val="auto"/>
                <w:w w:val="100"/>
                <w:sz w:val="24"/>
                <w:szCs w:val="24"/>
                <w:highlight w:val="none"/>
              </w:rPr>
              <w:fldChar w:fldCharType="begin"/>
            </w:r>
            <w:r>
              <w:rPr>
                <w:rFonts w:hint="eastAsia" w:ascii="Times New Roman" w:hAnsi="Times New Roman"/>
                <w:b w:val="0"/>
                <w:bCs w:val="0"/>
                <w:caps w:val="0"/>
                <w:smallCaps w:val="0"/>
                <w:color w:val="auto"/>
                <w:w w:val="100"/>
                <w:sz w:val="24"/>
                <w:szCs w:val="24"/>
                <w:highlight w:val="none"/>
              </w:rPr>
              <w:instrText xml:space="preserve"> = 2 \* GB3 \* MERGEFORMAT </w:instrText>
            </w:r>
            <w:r>
              <w:rPr>
                <w:rFonts w:hint="eastAsia" w:ascii="Times New Roman" w:hAnsi="Times New Roman"/>
                <w:b w:val="0"/>
                <w:bCs w:val="0"/>
                <w:caps w:val="0"/>
                <w:smallCaps w:val="0"/>
                <w:color w:val="auto"/>
                <w:w w:val="100"/>
                <w:sz w:val="24"/>
                <w:szCs w:val="24"/>
                <w:highlight w:val="none"/>
              </w:rPr>
              <w:fldChar w:fldCharType="separate"/>
            </w:r>
            <w:r>
              <w:rPr>
                <w:rFonts w:hint="eastAsia" w:ascii="Times New Roman" w:hAnsi="Times New Roman"/>
                <w:b w:val="0"/>
                <w:bCs w:val="0"/>
                <w:caps w:val="0"/>
                <w:smallCaps w:val="0"/>
                <w:color w:val="auto"/>
                <w:w w:val="100"/>
                <w:sz w:val="24"/>
                <w:szCs w:val="24"/>
                <w:highlight w:val="none"/>
              </w:rPr>
              <w:t>②</w:t>
            </w:r>
            <w:r>
              <w:rPr>
                <w:rFonts w:hint="eastAsia" w:ascii="Times New Roman" w:hAnsi="Times New Roman"/>
                <w:b w:val="0"/>
                <w:bCs w:val="0"/>
                <w:caps w:val="0"/>
                <w:smallCaps w:val="0"/>
                <w:color w:val="auto"/>
                <w:w w:val="100"/>
                <w:sz w:val="24"/>
                <w:szCs w:val="24"/>
                <w:highlight w:val="none"/>
              </w:rPr>
              <w:fldChar w:fldCharType="end"/>
            </w:r>
            <w:r>
              <w:rPr>
                <w:rFonts w:hint="eastAsia" w:ascii="Times New Roman" w:hAnsi="Times New Roman"/>
                <w:b w:val="0"/>
                <w:bCs w:val="0"/>
                <w:caps w:val="0"/>
                <w:smallCaps w:val="0"/>
                <w:color w:val="auto"/>
                <w:w w:val="100"/>
                <w:sz w:val="24"/>
                <w:szCs w:val="24"/>
                <w:highlight w:val="none"/>
              </w:rPr>
              <w:t>危废暂存间：</w:t>
            </w:r>
            <w:r>
              <w:rPr>
                <w:rFonts w:hint="eastAsia" w:ascii="Times New Roman" w:hAnsi="Times New Roman" w:eastAsia="宋体" w:cs="宋体"/>
                <w:caps w:val="0"/>
                <w:smallCaps w:val="0"/>
                <w:color w:val="auto"/>
                <w:w w:val="100"/>
                <w:sz w:val="24"/>
                <w:szCs w:val="24"/>
                <w:highlight w:val="none"/>
                <w:lang w:val="en-US" w:eastAsia="zh-CN"/>
              </w:rPr>
              <w:t>废润滑油、废液压油、废切削液</w:t>
            </w:r>
            <w:r>
              <w:rPr>
                <w:rFonts w:hint="eastAsia" w:ascii="Times New Roman" w:hAnsi="Times New Roman"/>
                <w:b w:val="0"/>
                <w:bCs w:val="0"/>
                <w:caps w:val="0"/>
                <w:smallCaps w:val="0"/>
                <w:color w:val="auto"/>
                <w:w w:val="100"/>
                <w:sz w:val="24"/>
                <w:szCs w:val="24"/>
                <w:highlight w:val="none"/>
                <w:lang w:eastAsia="zh-CN"/>
              </w:rPr>
              <w:t>均放置在专门的容器内，并加盖密封，</w:t>
            </w:r>
            <w:r>
              <w:rPr>
                <w:rFonts w:hint="eastAsia" w:ascii="Times New Roman" w:hAnsi="Times New Roman"/>
                <w:b w:val="0"/>
                <w:bCs w:val="0"/>
                <w:caps w:val="0"/>
                <w:smallCaps w:val="0"/>
                <w:color w:val="auto"/>
                <w:w w:val="100"/>
                <w:sz w:val="24"/>
                <w:szCs w:val="24"/>
                <w:highlight w:val="none"/>
              </w:rPr>
              <w:t>将</w:t>
            </w:r>
            <w:r>
              <w:rPr>
                <w:rFonts w:hint="eastAsia" w:ascii="Times New Roman" w:hAnsi="Times New Roman" w:eastAsia="宋体" w:cs="宋体"/>
                <w:caps w:val="0"/>
                <w:smallCaps w:val="0"/>
                <w:color w:val="auto"/>
                <w:w w:val="100"/>
                <w:sz w:val="24"/>
                <w:szCs w:val="24"/>
                <w:highlight w:val="none"/>
                <w:lang w:val="en-US" w:eastAsia="zh-CN"/>
              </w:rPr>
              <w:t>废润滑油、废液压油、废切削液</w:t>
            </w:r>
            <w:r>
              <w:rPr>
                <w:rFonts w:hint="eastAsia" w:ascii="Times New Roman" w:hAnsi="Times New Roman"/>
                <w:b w:val="0"/>
                <w:bCs w:val="0"/>
                <w:caps w:val="0"/>
                <w:smallCaps w:val="0"/>
                <w:color w:val="auto"/>
                <w:w w:val="100"/>
                <w:sz w:val="24"/>
                <w:szCs w:val="24"/>
                <w:highlight w:val="none"/>
              </w:rPr>
              <w:t>置于托盘内，托盘有效容积</w:t>
            </w:r>
            <w:r>
              <w:rPr>
                <w:rFonts w:hint="eastAsia"/>
                <w:b w:val="0"/>
                <w:bCs w:val="0"/>
                <w:caps w:val="0"/>
                <w:smallCaps w:val="0"/>
                <w:color w:val="auto"/>
                <w:w w:val="100"/>
                <w:sz w:val="24"/>
                <w:szCs w:val="24"/>
                <w:highlight w:val="none"/>
                <w:lang w:val="en-US" w:eastAsia="zh-CN"/>
              </w:rPr>
              <w:t>0.5</w:t>
            </w:r>
            <w:r>
              <w:rPr>
                <w:rFonts w:hint="eastAsia" w:ascii="Times New Roman" w:hAnsi="Times New Roman"/>
                <w:b w:val="0"/>
                <w:bCs w:val="0"/>
                <w:caps w:val="0"/>
                <w:smallCaps w:val="0"/>
                <w:color w:val="auto"/>
                <w:w w:val="100"/>
                <w:sz w:val="24"/>
                <w:szCs w:val="24"/>
                <w:highlight w:val="none"/>
              </w:rPr>
              <w:t>m</w:t>
            </w:r>
            <w:r>
              <w:rPr>
                <w:rFonts w:hint="eastAsia" w:ascii="Times New Roman" w:hAnsi="Times New Roman"/>
                <w:b w:val="0"/>
                <w:bCs w:val="0"/>
                <w:caps w:val="0"/>
                <w:smallCaps w:val="0"/>
                <w:color w:val="auto"/>
                <w:w w:val="100"/>
                <w:sz w:val="24"/>
                <w:szCs w:val="24"/>
                <w:highlight w:val="none"/>
                <w:vertAlign w:val="superscript"/>
              </w:rPr>
              <w:t>3</w:t>
            </w:r>
            <w:r>
              <w:rPr>
                <w:rFonts w:hint="eastAsia" w:ascii="Times New Roman" w:hAnsi="Times New Roman"/>
                <w:b w:val="0"/>
                <w:bCs w:val="0"/>
                <w:caps w:val="0"/>
                <w:smallCaps w:val="0"/>
                <w:color w:val="auto"/>
                <w:w w:val="100"/>
                <w:sz w:val="24"/>
                <w:szCs w:val="24"/>
                <w:highlight w:val="none"/>
              </w:rPr>
              <w:t>，可容纳</w:t>
            </w:r>
            <w:r>
              <w:rPr>
                <w:rFonts w:hint="eastAsia" w:ascii="Times New Roman" w:hAnsi="Times New Roman"/>
                <w:b w:val="0"/>
                <w:bCs w:val="0"/>
                <w:caps w:val="0"/>
                <w:smallCaps w:val="0"/>
                <w:color w:val="auto"/>
                <w:w w:val="100"/>
                <w:sz w:val="24"/>
                <w:szCs w:val="24"/>
                <w:highlight w:val="none"/>
                <w:lang w:eastAsia="zh-CN"/>
              </w:rPr>
              <w:t>单个油桶</w:t>
            </w:r>
            <w:r>
              <w:rPr>
                <w:rFonts w:hint="eastAsia" w:ascii="Times New Roman" w:hAnsi="Times New Roman"/>
                <w:b w:val="0"/>
                <w:bCs w:val="0"/>
                <w:caps w:val="0"/>
                <w:smallCaps w:val="0"/>
                <w:color w:val="auto"/>
                <w:w w:val="100"/>
                <w:sz w:val="24"/>
                <w:szCs w:val="24"/>
                <w:highlight w:val="none"/>
              </w:rPr>
              <w:t>全部</w:t>
            </w:r>
            <w:r>
              <w:rPr>
                <w:rFonts w:hint="eastAsia" w:ascii="Times New Roman" w:hAnsi="Times New Roman"/>
                <w:b w:val="0"/>
                <w:bCs w:val="0"/>
                <w:caps w:val="0"/>
                <w:smallCaps w:val="0"/>
                <w:color w:val="auto"/>
                <w:w w:val="100"/>
                <w:sz w:val="24"/>
                <w:szCs w:val="24"/>
                <w:highlight w:val="none"/>
                <w:lang w:eastAsia="zh-CN"/>
              </w:rPr>
              <w:t>泄漏</w:t>
            </w:r>
            <w:r>
              <w:rPr>
                <w:rFonts w:hint="eastAsia" w:ascii="Times New Roman" w:hAnsi="Times New Roman"/>
                <w:b w:val="0"/>
                <w:bCs w:val="0"/>
                <w:caps w:val="0"/>
                <w:smallCaps w:val="0"/>
                <w:color w:val="auto"/>
                <w:w w:val="100"/>
                <w:sz w:val="24"/>
                <w:szCs w:val="24"/>
                <w:highlight w:val="none"/>
              </w:rPr>
              <w:t>物料</w:t>
            </w:r>
            <w:r>
              <w:rPr>
                <w:rFonts w:hint="eastAsia" w:ascii="Times New Roman" w:hAnsi="Times New Roman"/>
                <w:b w:val="0"/>
                <w:bCs w:val="0"/>
                <w:caps w:val="0"/>
                <w:smallCaps w:val="0"/>
                <w:color w:val="auto"/>
                <w:w w:val="100"/>
                <w:sz w:val="24"/>
                <w:szCs w:val="24"/>
                <w:highlight w:val="none"/>
                <w:lang w:eastAsia="zh-CN"/>
              </w:rPr>
              <w:t>。</w:t>
            </w:r>
          </w:p>
          <w:p>
            <w:pPr>
              <w:widowControl/>
              <w:spacing w:line="480" w:lineRule="exact"/>
              <w:ind w:firstLine="480" w:firstLineChars="200"/>
              <w:rPr>
                <w:rFonts w:hint="eastAsia"/>
                <w:color w:val="auto"/>
                <w:sz w:val="24"/>
                <w:highlight w:val="none"/>
                <w:lang w:bidi="ar"/>
              </w:rPr>
            </w:pPr>
            <w:r>
              <w:rPr>
                <w:rFonts w:hint="eastAsia" w:cs="Times New Roman"/>
                <w:b w:val="0"/>
                <w:bCs w:val="0"/>
                <w:caps w:val="0"/>
                <w:smallCaps w:val="0"/>
                <w:color w:val="auto"/>
                <w:w w:val="100"/>
                <w:kern w:val="2"/>
                <w:sz w:val="24"/>
                <w:szCs w:val="24"/>
                <w:highlight w:val="none"/>
                <w:lang w:val="en-US" w:eastAsia="zh-CN" w:bidi="ar-SA"/>
              </w:rPr>
              <w:t>③丙烷罐储存区：丙</w:t>
            </w:r>
            <w:r>
              <w:rPr>
                <w:rFonts w:hint="eastAsia"/>
                <w:color w:val="auto"/>
                <w:sz w:val="24"/>
                <w:highlight w:val="none"/>
                <w:lang w:bidi="ar"/>
              </w:rPr>
              <w:t>烷发生</w:t>
            </w:r>
            <w:r>
              <w:rPr>
                <w:rFonts w:hint="eastAsia"/>
                <w:color w:val="auto"/>
                <w:sz w:val="24"/>
                <w:highlight w:val="none"/>
                <w:lang w:eastAsia="zh-CN" w:bidi="ar"/>
              </w:rPr>
              <w:t>泄漏</w:t>
            </w:r>
            <w:r>
              <w:rPr>
                <w:rFonts w:hint="eastAsia"/>
                <w:color w:val="auto"/>
                <w:sz w:val="24"/>
                <w:highlight w:val="none"/>
                <w:lang w:bidi="ar"/>
              </w:rPr>
              <w:t>、火灾，会对大气造成一定影响</w:t>
            </w:r>
            <w:r>
              <w:rPr>
                <w:color w:val="auto"/>
                <w:sz w:val="24"/>
                <w:highlight w:val="none"/>
                <w:lang w:bidi="ar"/>
              </w:rPr>
              <w:t>。</w:t>
            </w:r>
            <w:r>
              <w:rPr>
                <w:rFonts w:hint="eastAsia"/>
                <w:color w:val="auto"/>
                <w:sz w:val="24"/>
                <w:highlight w:val="none"/>
                <w:lang w:eastAsia="zh-CN" w:bidi="ar"/>
              </w:rPr>
              <w:t>丙烷</w:t>
            </w:r>
            <w:r>
              <w:rPr>
                <w:rFonts w:hint="eastAsia"/>
                <w:color w:val="auto"/>
                <w:sz w:val="24"/>
                <w:highlight w:val="none"/>
                <w:lang w:bidi="ar"/>
              </w:rPr>
              <w:t>罐委托有资质的单位管理，</w:t>
            </w:r>
            <w:r>
              <w:rPr>
                <w:rFonts w:hint="eastAsia"/>
                <w:color w:val="auto"/>
                <w:kern w:val="0"/>
                <w:sz w:val="24"/>
                <w:highlight w:val="none"/>
              </w:rPr>
              <w:t>并安装可燃气体检测报警装置，</w:t>
            </w:r>
            <w:r>
              <w:rPr>
                <w:rFonts w:hint="eastAsia"/>
                <w:color w:val="auto"/>
                <w:sz w:val="24"/>
                <w:highlight w:val="none"/>
                <w:lang w:eastAsia="zh-CN" w:bidi="ar"/>
              </w:rPr>
              <w:t>丙烷</w:t>
            </w:r>
            <w:r>
              <w:rPr>
                <w:rFonts w:hint="eastAsia"/>
                <w:color w:val="auto"/>
                <w:kern w:val="0"/>
                <w:sz w:val="24"/>
                <w:highlight w:val="none"/>
              </w:rPr>
              <w:t>罐周边按照规定设置消防设施，</w:t>
            </w:r>
            <w:r>
              <w:rPr>
                <w:color w:val="auto"/>
                <w:sz w:val="24"/>
                <w:highlight w:val="none"/>
                <w:lang w:bidi="ar"/>
              </w:rPr>
              <w:t>在此基础上提出以下建议，进一步防止污染源泄漏</w:t>
            </w:r>
            <w:r>
              <w:rPr>
                <w:rFonts w:hint="eastAsia"/>
                <w:color w:val="auto"/>
                <w:sz w:val="24"/>
                <w:highlight w:val="none"/>
                <w:lang w:bidi="ar"/>
              </w:rPr>
              <w:t>、火灾</w:t>
            </w:r>
            <w:r>
              <w:rPr>
                <w:color w:val="auto"/>
                <w:sz w:val="24"/>
                <w:highlight w:val="none"/>
                <w:lang w:bidi="ar"/>
              </w:rPr>
              <w:t>污染</w:t>
            </w:r>
            <w:r>
              <w:rPr>
                <w:rFonts w:hint="eastAsia"/>
                <w:color w:val="auto"/>
                <w:sz w:val="24"/>
                <w:highlight w:val="none"/>
                <w:lang w:bidi="ar"/>
              </w:rPr>
              <w:t>大气</w:t>
            </w:r>
            <w:r>
              <w:rPr>
                <w:color w:val="auto"/>
                <w:sz w:val="24"/>
                <w:highlight w:val="none"/>
                <w:lang w:bidi="ar"/>
              </w:rPr>
              <w:t>：</w:t>
            </w:r>
          </w:p>
          <w:p>
            <w:pPr>
              <w:spacing w:line="360" w:lineRule="auto"/>
              <w:ind w:firstLine="480" w:firstLineChars="200"/>
              <w:rPr>
                <w:color w:val="auto"/>
                <w:sz w:val="24"/>
                <w:highlight w:val="none"/>
              </w:rPr>
            </w:pPr>
            <w:r>
              <w:rPr>
                <w:color w:val="auto"/>
                <w:sz w:val="24"/>
                <w:highlight w:val="none"/>
              </w:rPr>
              <w:t>1</w:t>
            </w:r>
            <w:r>
              <w:rPr>
                <w:rFonts w:hAnsi="宋体"/>
                <w:color w:val="auto"/>
                <w:sz w:val="24"/>
                <w:highlight w:val="none"/>
              </w:rPr>
              <w:t>）严格控制设备质量及其安装质量，消除可能性。</w:t>
            </w:r>
            <w:r>
              <w:rPr>
                <w:rFonts w:hint="eastAsia"/>
                <w:color w:val="auto"/>
                <w:spacing w:val="8"/>
                <w:kern w:val="24"/>
                <w:sz w:val="24"/>
                <w:highlight w:val="none"/>
                <w:lang w:val="zh-CN"/>
              </w:rPr>
              <w:t>数控火焰切割机</w:t>
            </w:r>
            <w:r>
              <w:rPr>
                <w:rFonts w:hint="eastAsia"/>
                <w:snapToGrid w:val="0"/>
                <w:color w:val="auto"/>
                <w:kern w:val="0"/>
                <w:sz w:val="24"/>
                <w:highlight w:val="none"/>
              </w:rPr>
              <w:t>以</w:t>
            </w:r>
            <w:r>
              <w:rPr>
                <w:rFonts w:hint="eastAsia"/>
                <w:snapToGrid w:val="0"/>
                <w:color w:val="auto"/>
                <w:kern w:val="0"/>
                <w:sz w:val="24"/>
                <w:highlight w:val="none"/>
                <w:lang w:eastAsia="zh-CN"/>
              </w:rPr>
              <w:t>丙烷</w:t>
            </w:r>
            <w:r>
              <w:rPr>
                <w:rFonts w:hint="eastAsia"/>
                <w:snapToGrid w:val="0"/>
                <w:color w:val="auto"/>
                <w:kern w:val="0"/>
                <w:sz w:val="24"/>
                <w:highlight w:val="none"/>
              </w:rPr>
              <w:t>为燃料，定期对</w:t>
            </w:r>
            <w:r>
              <w:rPr>
                <w:rFonts w:hint="eastAsia"/>
                <w:color w:val="auto"/>
                <w:spacing w:val="8"/>
                <w:kern w:val="24"/>
                <w:sz w:val="24"/>
                <w:highlight w:val="none"/>
                <w:lang w:val="zh-CN"/>
              </w:rPr>
              <w:t>数控火焰切割机</w:t>
            </w:r>
            <w:r>
              <w:rPr>
                <w:rFonts w:hint="eastAsia"/>
                <w:snapToGrid w:val="0"/>
                <w:color w:val="auto"/>
                <w:kern w:val="0"/>
                <w:sz w:val="24"/>
                <w:highlight w:val="none"/>
              </w:rPr>
              <w:t>进行维护保养，确保其正常运行；</w:t>
            </w:r>
          </w:p>
          <w:p>
            <w:pPr>
              <w:spacing w:line="360" w:lineRule="auto"/>
              <w:ind w:firstLine="480" w:firstLineChars="200"/>
              <w:rPr>
                <w:rFonts w:hint="eastAsia"/>
                <w:color w:val="auto"/>
                <w:sz w:val="24"/>
                <w:highlight w:val="none"/>
              </w:rPr>
            </w:pPr>
            <w:r>
              <w:rPr>
                <w:color w:val="auto"/>
                <w:sz w:val="24"/>
                <w:highlight w:val="none"/>
              </w:rPr>
              <w:t>2</w:t>
            </w:r>
            <w:r>
              <w:rPr>
                <w:rFonts w:hAnsi="宋体"/>
                <w:color w:val="auto"/>
                <w:sz w:val="24"/>
                <w:highlight w:val="none"/>
              </w:rPr>
              <w:t>）在可能</w:t>
            </w:r>
            <w:r>
              <w:rPr>
                <w:rFonts w:hint="eastAsia" w:hAnsi="宋体"/>
                <w:color w:val="auto"/>
                <w:sz w:val="24"/>
                <w:highlight w:val="none"/>
              </w:rPr>
              <w:t>发生</w:t>
            </w:r>
            <w:r>
              <w:rPr>
                <w:rFonts w:hint="eastAsia" w:hAnsi="宋体"/>
                <w:color w:val="auto"/>
                <w:sz w:val="24"/>
                <w:highlight w:val="none"/>
                <w:lang w:eastAsia="zh-CN"/>
              </w:rPr>
              <w:t>丙烷</w:t>
            </w:r>
            <w:r>
              <w:rPr>
                <w:rFonts w:hAnsi="宋体"/>
                <w:color w:val="auto"/>
                <w:sz w:val="24"/>
                <w:highlight w:val="none"/>
              </w:rPr>
              <w:t>泄漏的部位安装</w:t>
            </w:r>
            <w:r>
              <w:rPr>
                <w:rFonts w:hint="eastAsia" w:hAnsi="宋体"/>
                <w:color w:val="auto"/>
                <w:sz w:val="24"/>
                <w:highlight w:val="none"/>
              </w:rPr>
              <w:t>可燃</w:t>
            </w:r>
            <w:r>
              <w:rPr>
                <w:rFonts w:hAnsi="宋体"/>
                <w:color w:val="auto"/>
                <w:sz w:val="24"/>
                <w:highlight w:val="none"/>
              </w:rPr>
              <w:t>气体监测报警仪。</w:t>
            </w:r>
          </w:p>
          <w:p>
            <w:pPr>
              <w:spacing w:line="360" w:lineRule="auto"/>
              <w:ind w:firstLine="480" w:firstLineChars="200"/>
              <w:rPr>
                <w:color w:val="auto"/>
                <w:sz w:val="24"/>
                <w:highlight w:val="none"/>
              </w:rPr>
            </w:pPr>
            <w:r>
              <w:rPr>
                <w:rFonts w:hint="eastAsia"/>
                <w:color w:val="auto"/>
                <w:sz w:val="24"/>
                <w:highlight w:val="none"/>
              </w:rPr>
              <w:t>3</w:t>
            </w:r>
            <w:r>
              <w:rPr>
                <w:rFonts w:hAnsi="宋体"/>
                <w:color w:val="auto"/>
                <w:sz w:val="24"/>
                <w:highlight w:val="none"/>
              </w:rPr>
              <w:t>）进入容器工作时要检测分析含氧量，以确定可否进入工作，并要有现场监护。</w:t>
            </w:r>
          </w:p>
          <w:p>
            <w:pPr>
              <w:spacing w:line="360" w:lineRule="auto"/>
              <w:ind w:firstLine="480" w:firstLineChars="200"/>
              <w:rPr>
                <w:color w:val="auto"/>
                <w:sz w:val="24"/>
                <w:highlight w:val="none"/>
              </w:rPr>
            </w:pPr>
            <w:r>
              <w:rPr>
                <w:rFonts w:hint="eastAsia"/>
                <w:color w:val="auto"/>
                <w:sz w:val="24"/>
                <w:highlight w:val="none"/>
              </w:rPr>
              <w:t>4</w:t>
            </w:r>
            <w:r>
              <w:rPr>
                <w:rFonts w:hAnsi="宋体"/>
                <w:color w:val="auto"/>
                <w:sz w:val="24"/>
                <w:highlight w:val="none"/>
              </w:rPr>
              <w:t>）检修作业时要彻底置换设备内的有毒物质含量，并进行氧含量监测，合格后方可作业，并要有人现场监护和抢救后备措施，作业人员要穿戴防护用具。</w:t>
            </w:r>
          </w:p>
          <w:p>
            <w:pPr>
              <w:spacing w:line="360" w:lineRule="auto"/>
              <w:ind w:firstLine="480" w:firstLineChars="200"/>
              <w:rPr>
                <w:color w:val="auto"/>
                <w:sz w:val="24"/>
                <w:highlight w:val="none"/>
              </w:rPr>
            </w:pPr>
            <w:r>
              <w:rPr>
                <w:rFonts w:hint="eastAsia"/>
                <w:color w:val="auto"/>
                <w:sz w:val="24"/>
                <w:highlight w:val="none"/>
              </w:rPr>
              <w:t>5</w:t>
            </w:r>
            <w:r>
              <w:rPr>
                <w:rFonts w:hAnsi="宋体"/>
                <w:color w:val="auto"/>
                <w:sz w:val="24"/>
                <w:highlight w:val="none"/>
              </w:rPr>
              <w:t>）在特殊场合下（如在有毒料场所抢救、急救等），要正确佩带相应的防毒过滤器和穿戴好劳动防护用品。</w:t>
            </w:r>
          </w:p>
          <w:p>
            <w:pPr>
              <w:spacing w:line="360" w:lineRule="auto"/>
              <w:ind w:firstLine="480" w:firstLineChars="200"/>
              <w:rPr>
                <w:color w:val="auto"/>
                <w:sz w:val="24"/>
                <w:highlight w:val="none"/>
              </w:rPr>
            </w:pPr>
            <w:r>
              <w:rPr>
                <w:rFonts w:hint="eastAsia"/>
                <w:color w:val="auto"/>
                <w:sz w:val="24"/>
                <w:highlight w:val="none"/>
              </w:rPr>
              <w:t>6</w:t>
            </w:r>
            <w:r>
              <w:rPr>
                <w:rFonts w:hAnsi="宋体"/>
                <w:color w:val="auto"/>
                <w:sz w:val="24"/>
                <w:highlight w:val="none"/>
              </w:rPr>
              <w:t>）设置急救点，佩带相应的药品、器材。</w:t>
            </w:r>
          </w:p>
          <w:p>
            <w:pPr>
              <w:spacing w:line="360" w:lineRule="auto"/>
              <w:ind w:firstLine="480" w:firstLineChars="200"/>
              <w:rPr>
                <w:rFonts w:hint="eastAsia" w:cs="Times New Roman"/>
                <w:b w:val="0"/>
                <w:bCs w:val="0"/>
                <w:caps w:val="0"/>
                <w:smallCaps w:val="0"/>
                <w:color w:val="auto"/>
                <w:w w:val="100"/>
                <w:kern w:val="2"/>
                <w:sz w:val="24"/>
                <w:szCs w:val="24"/>
                <w:highlight w:val="none"/>
                <w:lang w:val="en-US" w:eastAsia="zh-CN" w:bidi="ar-SA"/>
              </w:rPr>
            </w:pPr>
            <w:r>
              <w:rPr>
                <w:rFonts w:hint="eastAsia"/>
                <w:color w:val="auto"/>
                <w:sz w:val="24"/>
                <w:highlight w:val="none"/>
              </w:rPr>
              <w:t>7</w:t>
            </w:r>
            <w:r>
              <w:rPr>
                <w:rFonts w:hAnsi="宋体"/>
                <w:color w:val="auto"/>
                <w:sz w:val="24"/>
                <w:highlight w:val="none"/>
              </w:rPr>
              <w:t>）应对机械通风机连锁系统进行定期检查、维护保养，爆炸其正常运行。</w:t>
            </w:r>
          </w:p>
          <w:p>
            <w:pPr>
              <w:pStyle w:val="7"/>
              <w:pageBreakBefore w:val="0"/>
              <w:kinsoku/>
              <w:wordWrap/>
              <w:overflowPunct/>
              <w:topLinePunct w:val="0"/>
              <w:bidi w:val="0"/>
              <w:snapToGrid/>
              <w:spacing w:line="480" w:lineRule="exact"/>
              <w:rPr>
                <w:rFonts w:hint="eastAsia"/>
                <w:color w:val="auto"/>
                <w:highlight w:val="none"/>
                <w:lang w:eastAsia="zh-CN"/>
              </w:rPr>
            </w:pPr>
            <w:r>
              <w:rPr>
                <w:rFonts w:hint="eastAsia" w:cs="Times New Roman"/>
                <w:b w:val="0"/>
                <w:bCs w:val="0"/>
                <w:caps w:val="0"/>
                <w:smallCaps w:val="0"/>
                <w:color w:val="auto"/>
                <w:w w:val="100"/>
                <w:kern w:val="2"/>
                <w:sz w:val="24"/>
                <w:szCs w:val="24"/>
                <w:highlight w:val="none"/>
                <w:lang w:val="en-US" w:eastAsia="zh-CN" w:bidi="ar-SA"/>
              </w:rPr>
              <w:t>④应急预案：</w:t>
            </w:r>
            <w:r>
              <w:rPr>
                <w:rFonts w:hint="eastAsia" w:ascii="Times New Roman" w:hAnsi="Times New Roman" w:eastAsia="宋体" w:cs="Times New Roman"/>
                <w:b w:val="0"/>
                <w:bCs w:val="0"/>
                <w:caps w:val="0"/>
                <w:smallCaps w:val="0"/>
                <w:color w:val="auto"/>
                <w:w w:val="100"/>
                <w:kern w:val="2"/>
                <w:sz w:val="24"/>
                <w:szCs w:val="24"/>
                <w:highlight w:val="none"/>
                <w:lang w:val="en-US" w:eastAsia="zh-CN" w:bidi="ar-SA"/>
              </w:rPr>
              <w:t>项目建成后，按要求编制应急预案，并严格落实应急预案防范措施，降低突发事故造成的影响</w:t>
            </w:r>
            <w:r>
              <w:rPr>
                <w:rFonts w:hint="eastAsia" w:cs="Times New Roman"/>
                <w:b w:val="0"/>
                <w:bCs w:val="0"/>
                <w:caps w:val="0"/>
                <w:smallCaps w:val="0"/>
                <w:color w:val="auto"/>
                <w:w w:val="100"/>
                <w:kern w:val="2"/>
                <w:sz w:val="24"/>
                <w:szCs w:val="24"/>
                <w:highlight w:val="none"/>
                <w:lang w:val="en-US" w:eastAsia="zh-CN" w:bidi="ar-SA"/>
              </w:rPr>
              <w:t>。</w:t>
            </w:r>
          </w:p>
          <w:p>
            <w:pPr>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outlineLvl w:val="9"/>
              <w:rPr>
                <w:rFonts w:hint="eastAsia" w:ascii="Times New Roman" w:hAnsi="Times New Roman"/>
                <w:b w:val="0"/>
                <w:bCs w:val="0"/>
                <w:caps w:val="0"/>
                <w:smallCaps w:val="0"/>
                <w:color w:val="auto"/>
                <w:w w:val="100"/>
                <w:sz w:val="24"/>
                <w:szCs w:val="24"/>
                <w:highlight w:val="none"/>
                <w:lang w:eastAsia="zh-CN"/>
              </w:rPr>
            </w:pPr>
            <w:r>
              <w:rPr>
                <w:rFonts w:hint="eastAsia" w:ascii="Times New Roman" w:hAnsi="Times New Roman"/>
                <w:b w:val="0"/>
                <w:bCs w:val="0"/>
                <w:caps w:val="0"/>
                <w:smallCaps w:val="0"/>
                <w:color w:val="auto"/>
                <w:w w:val="100"/>
                <w:sz w:val="24"/>
                <w:szCs w:val="24"/>
                <w:highlight w:val="none"/>
                <w:lang w:eastAsia="zh-CN"/>
              </w:rPr>
              <w:t>（</w:t>
            </w:r>
            <w:r>
              <w:rPr>
                <w:rFonts w:hint="eastAsia" w:ascii="Times New Roman" w:hAnsi="Times New Roman"/>
                <w:b w:val="0"/>
                <w:bCs w:val="0"/>
                <w:caps w:val="0"/>
                <w:smallCaps w:val="0"/>
                <w:color w:val="auto"/>
                <w:w w:val="100"/>
                <w:sz w:val="24"/>
                <w:szCs w:val="24"/>
                <w:highlight w:val="none"/>
                <w:lang w:val="en-US" w:eastAsia="zh-CN"/>
              </w:rPr>
              <w:t>5</w:t>
            </w:r>
            <w:r>
              <w:rPr>
                <w:rFonts w:hint="eastAsia" w:ascii="Times New Roman" w:hAnsi="Times New Roman"/>
                <w:b w:val="0"/>
                <w:bCs w:val="0"/>
                <w:caps w:val="0"/>
                <w:smallCaps w:val="0"/>
                <w:color w:val="auto"/>
                <w:w w:val="100"/>
                <w:sz w:val="24"/>
                <w:szCs w:val="24"/>
                <w:highlight w:val="none"/>
                <w:lang w:eastAsia="zh-CN"/>
              </w:rPr>
              <w:t>）防渗情况分析</w:t>
            </w:r>
          </w:p>
          <w:p>
            <w:pPr>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outlineLvl w:val="9"/>
              <w:rPr>
                <w:rFonts w:hint="eastAsia" w:ascii="Times New Roman" w:hAnsi="Times New Roman"/>
                <w:b w:val="0"/>
                <w:bCs w:val="0"/>
                <w:caps w:val="0"/>
                <w:smallCaps w:val="0"/>
                <w:color w:val="auto"/>
                <w:w w:val="100"/>
                <w:sz w:val="24"/>
                <w:szCs w:val="24"/>
                <w:highlight w:val="none"/>
                <w:lang w:eastAsia="zh-CN"/>
              </w:rPr>
            </w:pPr>
            <w:r>
              <w:rPr>
                <w:rFonts w:hint="eastAsia" w:ascii="Times New Roman" w:hAnsi="Times New Roman"/>
                <w:b w:val="0"/>
                <w:bCs w:val="0"/>
                <w:color w:val="auto"/>
                <w:w w:val="100"/>
                <w:sz w:val="24"/>
                <w:szCs w:val="24"/>
                <w:highlight w:val="none"/>
                <w:lang w:val="en-US" w:eastAsia="zh-CN"/>
              </w:rPr>
              <w:t>①</w:t>
            </w:r>
            <w:r>
              <w:rPr>
                <w:rFonts w:hint="eastAsia" w:ascii="Times New Roman" w:hAnsi="Times New Roman"/>
                <w:b w:val="0"/>
                <w:bCs w:val="0"/>
                <w:caps w:val="0"/>
                <w:smallCaps w:val="0"/>
                <w:color w:val="auto"/>
                <w:w w:val="100"/>
                <w:sz w:val="24"/>
                <w:szCs w:val="24"/>
                <w:highlight w:val="none"/>
                <w:lang w:val="en-US" w:eastAsia="zh-CN"/>
              </w:rPr>
              <w:t>简单防渗区：</w:t>
            </w:r>
            <w:r>
              <w:rPr>
                <w:rFonts w:hint="eastAsia" w:ascii="Times New Roman" w:hAnsi="Times New Roman"/>
                <w:color w:val="auto"/>
                <w:w w:val="100"/>
                <w:sz w:val="24"/>
                <w:szCs w:val="24"/>
                <w:highlight w:val="none"/>
              </w:rPr>
              <w:t>办公区</w:t>
            </w:r>
            <w:r>
              <w:rPr>
                <w:rFonts w:hint="eastAsia" w:ascii="Times New Roman" w:hAnsi="Times New Roman"/>
                <w:b w:val="0"/>
                <w:bCs w:val="0"/>
                <w:caps w:val="0"/>
                <w:smallCaps w:val="0"/>
                <w:color w:val="auto"/>
                <w:w w:val="100"/>
                <w:sz w:val="24"/>
                <w:szCs w:val="24"/>
                <w:highlight w:val="none"/>
                <w:lang w:eastAsia="zh-CN"/>
              </w:rPr>
              <w:t>为简单防渗区，进行一般地面硬化；</w:t>
            </w:r>
          </w:p>
          <w:p>
            <w:pPr>
              <w:tabs>
                <w:tab w:val="left" w:pos="6420"/>
              </w:tabs>
              <w:spacing w:line="500" w:lineRule="exact"/>
              <w:ind w:firstLine="480" w:firstLineChars="200"/>
              <w:jc w:val="left"/>
              <w:rPr>
                <w:color w:val="auto"/>
                <w:sz w:val="24"/>
                <w:highlight w:val="none"/>
              </w:rPr>
            </w:pPr>
            <w:r>
              <w:rPr>
                <w:rFonts w:hint="eastAsia" w:ascii="Times New Roman" w:hAnsi="Times New Roman"/>
                <w:b w:val="0"/>
                <w:bCs w:val="0"/>
                <w:color w:val="auto"/>
                <w:w w:val="100"/>
                <w:sz w:val="24"/>
                <w:szCs w:val="24"/>
                <w:highlight w:val="none"/>
                <w:lang w:val="en-US" w:eastAsia="zh-CN"/>
              </w:rPr>
              <w:t>②一般防渗区：</w:t>
            </w:r>
            <w:r>
              <w:rPr>
                <w:rFonts w:hint="default" w:ascii="Times New Roman" w:hAnsi="Times New Roman" w:cs="Times New Roman"/>
                <w:color w:val="auto"/>
                <w:sz w:val="24"/>
                <w:szCs w:val="24"/>
                <w:highlight w:val="none"/>
              </w:rPr>
              <w:t>生产车间</w:t>
            </w:r>
            <w:r>
              <w:rPr>
                <w:rFonts w:hint="eastAsia" w:cs="Times New Roman"/>
                <w:color w:val="auto"/>
                <w:sz w:val="24"/>
                <w:szCs w:val="24"/>
                <w:highlight w:val="none"/>
                <w:lang w:eastAsia="zh-CN"/>
              </w:rPr>
              <w:t>为</w:t>
            </w:r>
            <w:r>
              <w:rPr>
                <w:rFonts w:hint="eastAsia" w:ascii="Times New Roman" w:hAnsi="Times New Roman"/>
                <w:color w:val="auto"/>
                <w:w w:val="100"/>
                <w:sz w:val="24"/>
                <w:szCs w:val="24"/>
                <w:highlight w:val="none"/>
                <w:lang w:eastAsia="zh-CN"/>
              </w:rPr>
              <w:t>一般防渗区</w:t>
            </w:r>
            <w:r>
              <w:rPr>
                <w:rFonts w:hint="eastAsia"/>
                <w:color w:val="auto"/>
                <w:w w:val="100"/>
                <w:sz w:val="24"/>
                <w:szCs w:val="24"/>
                <w:highlight w:val="none"/>
                <w:lang w:eastAsia="zh-CN"/>
              </w:rPr>
              <w:t>，依托现有生产车间，现有生产车间</w:t>
            </w:r>
            <w:r>
              <w:rPr>
                <w:rFonts w:hint="default" w:ascii="Times New Roman" w:hAnsi="Times New Roman" w:cs="Times New Roman"/>
                <w:color w:val="auto"/>
                <w:sz w:val="24"/>
                <w:szCs w:val="24"/>
                <w:highlight w:val="none"/>
              </w:rPr>
              <w:t>全部进行水泥硬化，地面铺设 3：7 的石灰、粘土混合层，夯实，15cm 厚水泥+抗渗剂硬化，</w:t>
            </w:r>
            <w:r>
              <w:rPr>
                <w:rFonts w:hint="eastAsia" w:cs="Times New Roman"/>
                <w:color w:val="auto"/>
                <w:sz w:val="24"/>
                <w:szCs w:val="24"/>
                <w:highlight w:val="none"/>
                <w:lang w:eastAsia="zh-CN"/>
              </w:rPr>
              <w:t>表面铺设一层环氧树脂，渗透系数</w:t>
            </w:r>
            <w:r>
              <w:rPr>
                <w:rFonts w:hint="default" w:ascii="Times New Roman" w:hAnsi="Times New Roman" w:cs="Times New Roman"/>
                <w:color w:val="auto"/>
                <w:sz w:val="24"/>
                <w:szCs w:val="24"/>
                <w:highlight w:val="none"/>
              </w:rPr>
              <w:t>不大于1×10</w:t>
            </w:r>
            <w:r>
              <w:rPr>
                <w:rFonts w:hint="default" w:ascii="Times New Roman" w:hAnsi="Times New Roman" w:cs="Times New Roman"/>
                <w:color w:val="auto"/>
                <w:sz w:val="24"/>
                <w:szCs w:val="24"/>
                <w:highlight w:val="none"/>
                <w:vertAlign w:val="superscript"/>
              </w:rPr>
              <w:t xml:space="preserve">-7 </w:t>
            </w:r>
            <w:r>
              <w:rPr>
                <w:rFonts w:hint="default" w:ascii="Times New Roman" w:hAnsi="Times New Roman" w:cs="Times New Roman"/>
                <w:color w:val="auto"/>
                <w:sz w:val="24"/>
                <w:szCs w:val="24"/>
                <w:highlight w:val="none"/>
              </w:rPr>
              <w:t xml:space="preserve">cm/s </w:t>
            </w:r>
            <w:r>
              <w:rPr>
                <w:rFonts w:hint="default" w:ascii="Times New Roman" w:hAnsi="Times New Roman" w:cs="Times New Roman"/>
                <w:color w:val="auto"/>
                <w:sz w:val="24"/>
                <w:szCs w:val="24"/>
                <w:highlight w:val="none"/>
                <w:lang w:eastAsia="zh-CN"/>
              </w:rPr>
              <w:t>。</w:t>
            </w:r>
          </w:p>
          <w:p>
            <w:pPr>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outlineLvl w:val="9"/>
              <w:rPr>
                <w:rFonts w:hint="eastAsia" w:ascii="Times New Roman" w:hAnsi="Times New Roman"/>
                <w:b w:val="0"/>
                <w:bCs w:val="0"/>
                <w:caps w:val="0"/>
                <w:smallCaps w:val="0"/>
                <w:color w:val="auto"/>
                <w:w w:val="100"/>
                <w:sz w:val="24"/>
                <w:szCs w:val="24"/>
                <w:highlight w:val="none"/>
              </w:rPr>
            </w:pPr>
            <w:r>
              <w:rPr>
                <w:rFonts w:hint="eastAsia" w:ascii="Times New Roman" w:hAnsi="Times New Roman"/>
                <w:b w:val="0"/>
                <w:bCs w:val="0"/>
                <w:caps w:val="0"/>
                <w:smallCaps w:val="0"/>
                <w:color w:val="auto"/>
                <w:w w:val="100"/>
                <w:sz w:val="24"/>
                <w:szCs w:val="24"/>
                <w:highlight w:val="none"/>
                <w:lang w:val="en-US" w:eastAsia="zh-CN"/>
              </w:rPr>
              <w:t>③</w:t>
            </w:r>
            <w:r>
              <w:rPr>
                <w:rFonts w:hint="eastAsia" w:ascii="Times New Roman" w:hAnsi="Times New Roman"/>
                <w:b w:val="0"/>
                <w:bCs w:val="0"/>
                <w:caps w:val="0"/>
                <w:smallCaps w:val="0"/>
                <w:color w:val="auto"/>
                <w:w w:val="100"/>
                <w:sz w:val="24"/>
                <w:szCs w:val="24"/>
                <w:highlight w:val="none"/>
                <w:lang w:eastAsia="zh-CN"/>
              </w:rPr>
              <w:t>危废暂存间</w:t>
            </w:r>
            <w:r>
              <w:rPr>
                <w:rFonts w:hint="eastAsia" w:ascii="Times New Roman" w:hAnsi="Times New Roman"/>
                <w:b w:val="0"/>
                <w:bCs w:val="0"/>
                <w:caps w:val="0"/>
                <w:smallCaps w:val="0"/>
                <w:color w:val="auto"/>
                <w:w w:val="100"/>
                <w:sz w:val="24"/>
                <w:szCs w:val="24"/>
                <w:highlight w:val="none"/>
              </w:rPr>
              <w:t>属于重点防渗区，</w:t>
            </w:r>
            <w:r>
              <w:rPr>
                <w:rFonts w:hint="eastAsia" w:cs="Times New Roman"/>
                <w:color w:val="auto"/>
                <w:sz w:val="24"/>
                <w:szCs w:val="24"/>
                <w:highlight w:val="none"/>
                <w:lang w:eastAsia="zh-CN"/>
              </w:rPr>
              <w:t>本次技改项目依托现有危废暂存间，现有</w:t>
            </w:r>
            <w:r>
              <w:rPr>
                <w:color w:val="auto"/>
                <w:sz w:val="24"/>
                <w:highlight w:val="none"/>
              </w:rPr>
              <w:t>危废暂存间</w:t>
            </w:r>
            <w:r>
              <w:rPr>
                <w:rFonts w:hint="default" w:ascii="Times New Roman" w:hAnsi="Times New Roman" w:cs="Times New Roman"/>
                <w:color w:val="auto"/>
                <w:sz w:val="24"/>
                <w:szCs w:val="24"/>
                <w:highlight w:val="none"/>
              </w:rPr>
              <w:t>铺设 20</w:t>
            </w:r>
            <w:r>
              <w:rPr>
                <w:rFonts w:hint="eastAsia" w:cs="Times New Roman"/>
                <w:color w:val="auto"/>
                <w:sz w:val="24"/>
                <w:szCs w:val="24"/>
                <w:highlight w:val="none"/>
                <w:lang w:val="en-US" w:eastAsia="zh-CN"/>
              </w:rPr>
              <w:t>0m</w:t>
            </w:r>
            <w:r>
              <w:rPr>
                <w:rFonts w:hint="default" w:ascii="Times New Roman" w:hAnsi="Times New Roman" w:cs="Times New Roman"/>
                <w:color w:val="auto"/>
                <w:sz w:val="24"/>
                <w:szCs w:val="24"/>
                <w:highlight w:val="none"/>
              </w:rPr>
              <w:t>m 抗渗混凝土；再铺设2mm 厚高密度聚乙烯（HDPE）膜防渗层，防渗层上采用抗渗混凝土，混凝土强度等级不低于 C25，抗渗等级不低于 P6，厚度不小于 100mm。</w:t>
            </w:r>
            <w:r>
              <w:rPr>
                <w:rFonts w:hint="eastAsia" w:cs="Times New Roman"/>
                <w:color w:val="auto"/>
                <w:sz w:val="24"/>
                <w:szCs w:val="24"/>
                <w:highlight w:val="none"/>
                <w:lang w:eastAsia="zh-CN"/>
              </w:rPr>
              <w:t>渗透系数</w:t>
            </w:r>
            <w:r>
              <w:rPr>
                <w:rFonts w:hint="default" w:ascii="Times New Roman" w:hAnsi="Times New Roman" w:cs="Times New Roman"/>
                <w:color w:val="auto"/>
                <w:sz w:val="24"/>
                <w:szCs w:val="24"/>
                <w:highlight w:val="none"/>
              </w:rPr>
              <w:t>不大于1×10</w:t>
            </w:r>
            <w:r>
              <w:rPr>
                <w:rFonts w:hint="default" w:ascii="Times New Roman" w:hAnsi="Times New Roman" w:cs="Times New Roman"/>
                <w:color w:val="auto"/>
                <w:sz w:val="24"/>
                <w:szCs w:val="24"/>
                <w:highlight w:val="none"/>
                <w:vertAlign w:val="superscript"/>
              </w:rPr>
              <w:t xml:space="preserve"> -</w:t>
            </w:r>
            <w:r>
              <w:rPr>
                <w:rFonts w:hint="default" w:ascii="Times New Roman" w:hAnsi="Times New Roman" w:cs="Times New Roman"/>
                <w:color w:val="auto"/>
                <w:sz w:val="24"/>
                <w:szCs w:val="24"/>
                <w:highlight w:val="none"/>
                <w:vertAlign w:val="superscript"/>
                <w:lang w:val="en-US" w:eastAsia="zh-CN"/>
              </w:rPr>
              <w:t>10</w:t>
            </w:r>
            <w:r>
              <w:rPr>
                <w:rFonts w:hint="default" w:ascii="Times New Roman" w:hAnsi="Times New Roman" w:cs="Times New Roman"/>
                <w:color w:val="auto"/>
                <w:sz w:val="24"/>
                <w:szCs w:val="24"/>
                <w:highlight w:val="none"/>
              </w:rPr>
              <w:t xml:space="preserve"> cm/s</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危废暂存间</w:t>
            </w:r>
            <w:r>
              <w:rPr>
                <w:rFonts w:hint="eastAsia" w:cs="Times New Roman"/>
                <w:color w:val="auto"/>
                <w:sz w:val="24"/>
                <w:szCs w:val="24"/>
                <w:highlight w:val="none"/>
                <w:lang w:eastAsia="zh-CN"/>
              </w:rPr>
              <w:t>改造后</w:t>
            </w:r>
            <w:r>
              <w:rPr>
                <w:rFonts w:hint="default" w:ascii="Times New Roman" w:hAnsi="Times New Roman" w:cs="Times New Roman"/>
                <w:color w:val="auto"/>
                <w:sz w:val="24"/>
                <w:szCs w:val="24"/>
                <w:highlight w:val="none"/>
              </w:rPr>
              <w:t>同时满足防雨、防风、防晒设施，地面与裙角连城整体，避免污染物泄漏，污染环境</w:t>
            </w:r>
            <w:r>
              <w:rPr>
                <w:color w:val="auto"/>
                <w:sz w:val="24"/>
                <w:highlight w:val="none"/>
              </w:rPr>
              <w:t>；</w:t>
            </w:r>
            <w:r>
              <w:rPr>
                <w:rFonts w:hint="eastAsia"/>
                <w:color w:val="auto"/>
                <w:sz w:val="24"/>
                <w:highlight w:val="none"/>
                <w:lang w:eastAsia="zh-CN"/>
              </w:rPr>
              <w:t>并满足</w:t>
            </w:r>
            <w:r>
              <w:rPr>
                <w:color w:val="auto"/>
                <w:sz w:val="24"/>
                <w:highlight w:val="none"/>
              </w:rPr>
              <w:t>地面与裙脚所围建的容积不低于最大容器的最大储量或总储量的五分之一</w:t>
            </w:r>
            <w:r>
              <w:rPr>
                <w:rFonts w:hint="eastAsia" w:ascii="Times New Roman" w:hAnsi="Times New Roman"/>
                <w:b w:val="0"/>
                <w:bCs w:val="0"/>
                <w:caps w:val="0"/>
                <w:smallCaps w:val="0"/>
                <w:color w:val="auto"/>
                <w:w w:val="100"/>
                <w:sz w:val="24"/>
                <w:szCs w:val="24"/>
                <w:highlight w:val="none"/>
              </w:rPr>
              <w:t>。</w:t>
            </w:r>
          </w:p>
          <w:p>
            <w:pPr>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outlineLvl w:val="9"/>
              <w:rPr>
                <w:rFonts w:hint="eastAsia" w:ascii="Times New Roman" w:hAnsi="Times New Roman"/>
                <w:b w:val="0"/>
                <w:bCs w:val="0"/>
                <w:caps w:val="0"/>
                <w:smallCaps w:val="0"/>
                <w:color w:val="auto"/>
                <w:w w:val="100"/>
                <w:sz w:val="24"/>
                <w:szCs w:val="24"/>
                <w:highlight w:val="none"/>
              </w:rPr>
            </w:pPr>
            <w:r>
              <w:rPr>
                <w:rFonts w:hint="eastAsia" w:ascii="Times New Roman" w:hAnsi="Times New Roman"/>
                <w:b w:val="0"/>
                <w:bCs w:val="0"/>
                <w:caps w:val="0"/>
                <w:smallCaps w:val="0"/>
                <w:color w:val="auto"/>
                <w:w w:val="100"/>
                <w:sz w:val="24"/>
                <w:szCs w:val="24"/>
                <w:highlight w:val="none"/>
              </w:rPr>
              <w:t>采取防渗措施后，可有效控制物料泄漏对地下水的影响。因此，应急措施有效。</w:t>
            </w:r>
          </w:p>
          <w:p>
            <w:pPr>
              <w:pStyle w:val="7"/>
              <w:pageBreakBefore w:val="0"/>
              <w:kinsoku/>
              <w:wordWrap/>
              <w:overflowPunct/>
              <w:topLinePunct w:val="0"/>
              <w:bidi w:val="0"/>
              <w:snapToGrid/>
              <w:spacing w:line="480" w:lineRule="exact"/>
              <w:rPr>
                <w:rFonts w:hint="default" w:ascii="Times New Roman" w:hAnsi="Times New Roman" w:eastAsia="宋体"/>
                <w:caps w:val="0"/>
                <w:smallCaps w:val="0"/>
                <w:color w:val="auto"/>
                <w:w w:val="100"/>
                <w:sz w:val="24"/>
                <w:szCs w:val="24"/>
                <w:highlight w:val="none"/>
                <w:lang w:val="en-US" w:eastAsia="zh-CN"/>
              </w:rPr>
            </w:pPr>
            <w:r>
              <w:rPr>
                <w:rFonts w:hint="eastAsia" w:ascii="Times New Roman" w:hAnsi="Times New Roman"/>
                <w:caps w:val="0"/>
                <w:smallCaps w:val="0"/>
                <w:color w:val="auto"/>
                <w:w w:val="100"/>
                <w:sz w:val="24"/>
                <w:szCs w:val="24"/>
                <w:highlight w:val="none"/>
                <w:lang w:val="en-US" w:eastAsia="zh-CN"/>
              </w:rPr>
              <w:t>风险防范措施一览表见表4</w:t>
            </w:r>
            <w:r>
              <w:rPr>
                <w:rFonts w:hint="eastAsia"/>
                <w:caps w:val="0"/>
                <w:smallCaps w:val="0"/>
                <w:color w:val="auto"/>
                <w:w w:val="100"/>
                <w:sz w:val="24"/>
                <w:szCs w:val="24"/>
                <w:highlight w:val="none"/>
                <w:lang w:val="en-US" w:eastAsia="zh-CN"/>
              </w:rPr>
              <w:t>1</w:t>
            </w:r>
            <w:r>
              <w:rPr>
                <w:rFonts w:hint="eastAsia" w:ascii="Times New Roman" w:hAnsi="Times New Roman"/>
                <w:caps w:val="0"/>
                <w:smallCaps w:val="0"/>
                <w:color w:val="auto"/>
                <w:w w:val="100"/>
                <w:sz w:val="24"/>
                <w:szCs w:val="24"/>
                <w:highlight w:val="none"/>
                <w:lang w:val="en-US" w:eastAsia="zh-CN"/>
              </w:rPr>
              <w:t>。</w:t>
            </w:r>
          </w:p>
          <w:p>
            <w:pPr>
              <w:pStyle w:val="3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黑体"/>
                <w:b w:val="0"/>
                <w:bCs/>
                <w:caps w:val="0"/>
                <w:smallCaps w:val="0"/>
                <w:color w:val="auto"/>
                <w:w w:val="100"/>
                <w:sz w:val="24"/>
                <w:szCs w:val="24"/>
                <w:highlight w:val="none"/>
                <w:lang w:val="en-US" w:eastAsia="zh-CN"/>
              </w:rPr>
            </w:pPr>
            <w:r>
              <w:rPr>
                <w:rFonts w:hint="eastAsia" w:ascii="Times New Roman" w:hAnsi="Times New Roman"/>
                <w:b w:val="0"/>
                <w:bCs/>
                <w:caps w:val="0"/>
                <w:smallCaps w:val="0"/>
                <w:color w:val="auto"/>
                <w:w w:val="100"/>
                <w:sz w:val="24"/>
                <w:szCs w:val="24"/>
                <w:highlight w:val="none"/>
                <w:lang w:eastAsia="zh-CN"/>
              </w:rPr>
              <w:t>表</w:t>
            </w:r>
            <w:r>
              <w:rPr>
                <w:rFonts w:hint="eastAsia" w:ascii="Times New Roman" w:hAnsi="Times New Roman"/>
                <w:b w:val="0"/>
                <w:bCs/>
                <w:caps w:val="0"/>
                <w:smallCaps w:val="0"/>
                <w:color w:val="auto"/>
                <w:w w:val="100"/>
                <w:sz w:val="24"/>
                <w:szCs w:val="24"/>
                <w:highlight w:val="none"/>
                <w:lang w:val="en-US" w:eastAsia="zh-CN"/>
              </w:rPr>
              <w:t>41  风险防范措施内容一览表</w:t>
            </w:r>
          </w:p>
          <w:tbl>
            <w:tblPr>
              <w:tblStyle w:val="32"/>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78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8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aps w:val="0"/>
                      <w:smallCaps w:val="0"/>
                      <w:color w:val="auto"/>
                      <w:w w:val="100"/>
                      <w:sz w:val="21"/>
                      <w:szCs w:val="23"/>
                      <w:highlight w:val="none"/>
                      <w:lang w:eastAsia="zh-CN"/>
                    </w:rPr>
                  </w:pPr>
                  <w:r>
                    <w:rPr>
                      <w:rFonts w:hint="eastAsia" w:ascii="Times New Roman" w:hAnsi="Times New Roman"/>
                      <w:caps w:val="0"/>
                      <w:smallCaps w:val="0"/>
                      <w:color w:val="auto"/>
                      <w:w w:val="100"/>
                      <w:sz w:val="21"/>
                      <w:szCs w:val="23"/>
                      <w:highlight w:val="none"/>
                      <w:lang w:eastAsia="zh-CN"/>
                    </w:rPr>
                    <w:t>项目</w:t>
                  </w:r>
                </w:p>
              </w:tc>
              <w:tc>
                <w:tcPr>
                  <w:tcW w:w="4314"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caps w:val="0"/>
                      <w:smallCaps w:val="0"/>
                      <w:color w:val="auto"/>
                      <w:w w:val="100"/>
                      <w:sz w:val="21"/>
                      <w:szCs w:val="23"/>
                      <w:highlight w:val="none"/>
                      <w:lang w:eastAsia="zh-CN"/>
                    </w:rPr>
                  </w:pPr>
                  <w:r>
                    <w:rPr>
                      <w:rFonts w:hint="eastAsia" w:ascii="Times New Roman" w:hAnsi="Times New Roman"/>
                      <w:caps w:val="0"/>
                      <w:smallCaps w:val="0"/>
                      <w:color w:val="auto"/>
                      <w:w w:val="100"/>
                      <w:sz w:val="21"/>
                      <w:szCs w:val="23"/>
                      <w:highlight w:val="none"/>
                      <w:lang w:eastAsia="zh-CN"/>
                    </w:rPr>
                    <w:t>风险防范措施内容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8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aps w:val="0"/>
                      <w:smallCaps w:val="0"/>
                      <w:color w:val="auto"/>
                      <w:w w:val="100"/>
                      <w:sz w:val="21"/>
                      <w:szCs w:val="23"/>
                      <w:highlight w:val="none"/>
                      <w:lang w:eastAsia="zh-CN"/>
                    </w:rPr>
                  </w:pPr>
                  <w:r>
                    <w:rPr>
                      <w:rFonts w:hint="eastAsia"/>
                      <w:caps w:val="0"/>
                      <w:smallCaps w:val="0"/>
                      <w:color w:val="auto"/>
                      <w:w w:val="100"/>
                      <w:sz w:val="21"/>
                      <w:szCs w:val="23"/>
                      <w:highlight w:val="none"/>
                      <w:lang w:eastAsia="zh-CN"/>
                    </w:rPr>
                    <w:t>油类物质</w:t>
                  </w:r>
                  <w:r>
                    <w:rPr>
                      <w:rFonts w:hint="eastAsia" w:ascii="Times New Roman" w:hAnsi="Times New Roman"/>
                      <w:caps w:val="0"/>
                      <w:smallCaps w:val="0"/>
                      <w:color w:val="auto"/>
                      <w:w w:val="100"/>
                      <w:sz w:val="21"/>
                      <w:szCs w:val="23"/>
                      <w:highlight w:val="none"/>
                      <w:lang w:eastAsia="zh-CN"/>
                    </w:rPr>
                    <w:t>储存区</w:t>
                  </w:r>
                </w:p>
              </w:tc>
              <w:tc>
                <w:tcPr>
                  <w:tcW w:w="4314" w:type="pct"/>
                  <w:noWrap w:val="0"/>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aps w:val="0"/>
                      <w:smallCaps w:val="0"/>
                      <w:color w:val="auto"/>
                      <w:w w:val="100"/>
                      <w:sz w:val="21"/>
                      <w:szCs w:val="23"/>
                      <w:highlight w:val="none"/>
                      <w:lang w:eastAsia="zh-CN"/>
                    </w:rPr>
                  </w:pPr>
                  <w:r>
                    <w:rPr>
                      <w:rFonts w:hint="eastAsia" w:ascii="Times New Roman" w:hAnsi="Times New Roman" w:eastAsia="宋体" w:cs="Times New Roman"/>
                      <w:caps w:val="0"/>
                      <w:smallCaps w:val="0"/>
                      <w:color w:val="auto"/>
                      <w:w w:val="100"/>
                      <w:kern w:val="2"/>
                      <w:sz w:val="21"/>
                      <w:highlight w:val="none"/>
                      <w:lang w:val="en-US" w:eastAsia="zh-CN"/>
                    </w:rPr>
                    <w:t>润滑油、液压油、切削液</w:t>
                  </w:r>
                  <w:r>
                    <w:rPr>
                      <w:rFonts w:hint="eastAsia" w:ascii="Times New Roman" w:hAnsi="Times New Roman" w:eastAsia="宋体" w:cs="Times New Roman"/>
                      <w:caps w:val="0"/>
                      <w:smallCaps w:val="0"/>
                      <w:color w:val="auto"/>
                      <w:w w:val="100"/>
                      <w:kern w:val="2"/>
                      <w:sz w:val="21"/>
                      <w:highlight w:val="none"/>
                      <w:lang w:eastAsia="zh-CN"/>
                    </w:rPr>
                    <w:t>存</w:t>
                  </w:r>
                  <w:r>
                    <w:rPr>
                      <w:rFonts w:hint="eastAsia" w:ascii="Times New Roman" w:cs="Times New Roman"/>
                      <w:caps w:val="0"/>
                      <w:smallCaps w:val="0"/>
                      <w:color w:val="auto"/>
                      <w:w w:val="100"/>
                      <w:kern w:val="2"/>
                      <w:sz w:val="21"/>
                      <w:highlight w:val="none"/>
                      <w:lang w:eastAsia="zh-CN"/>
                    </w:rPr>
                    <w:t>储区</w:t>
                  </w:r>
                  <w:r>
                    <w:rPr>
                      <w:rFonts w:hint="eastAsia" w:ascii="Times New Roman" w:hAnsi="Times New Roman" w:eastAsia="宋体" w:cs="Times New Roman"/>
                      <w:caps w:val="0"/>
                      <w:smallCaps w:val="0"/>
                      <w:color w:val="auto"/>
                      <w:w w:val="100"/>
                      <w:kern w:val="2"/>
                      <w:sz w:val="21"/>
                      <w:highlight w:val="none"/>
                      <w:lang w:eastAsia="zh-CN"/>
                    </w:rPr>
                    <w:t>设置托盘，将所有桶装</w:t>
                  </w:r>
                  <w:r>
                    <w:rPr>
                      <w:rFonts w:hint="eastAsia" w:ascii="Times New Roman" w:hAnsi="Times New Roman" w:eastAsia="宋体" w:cs="Times New Roman"/>
                      <w:caps w:val="0"/>
                      <w:smallCaps w:val="0"/>
                      <w:color w:val="auto"/>
                      <w:w w:val="100"/>
                      <w:kern w:val="2"/>
                      <w:sz w:val="21"/>
                      <w:highlight w:val="none"/>
                      <w:lang w:val="en-US" w:eastAsia="zh-CN"/>
                    </w:rPr>
                    <w:t>润滑油、液压油、切削液</w:t>
                  </w:r>
                  <w:r>
                    <w:rPr>
                      <w:rFonts w:hint="eastAsia" w:ascii="Times New Roman" w:hAnsi="Times New Roman" w:eastAsia="宋体" w:cs="Times New Roman"/>
                      <w:caps w:val="0"/>
                      <w:smallCaps w:val="0"/>
                      <w:color w:val="auto"/>
                      <w:w w:val="100"/>
                      <w:kern w:val="2"/>
                      <w:sz w:val="21"/>
                      <w:highlight w:val="none"/>
                      <w:lang w:eastAsia="zh-CN"/>
                    </w:rPr>
                    <w:t>置于托盘内，</w:t>
                  </w:r>
                  <w:r>
                    <w:rPr>
                      <w:rFonts w:hint="eastAsia" w:ascii="Times New Roman" w:hAnsi="Times New Roman" w:eastAsia="宋体" w:cs="Times New Roman"/>
                      <w:caps w:val="0"/>
                      <w:smallCaps w:val="0"/>
                      <w:color w:val="auto"/>
                      <w:w w:val="100"/>
                      <w:kern w:val="2"/>
                      <w:sz w:val="21"/>
                      <w:highlight w:val="none"/>
                      <w:lang w:val="en-US" w:eastAsia="zh-CN"/>
                    </w:rPr>
                    <w:t>润滑油、液压油、切削液</w:t>
                  </w:r>
                  <w:r>
                    <w:rPr>
                      <w:rFonts w:hint="eastAsia" w:ascii="Times New Roman" w:hAnsi="Times New Roman" w:eastAsia="宋体" w:cs="Times New Roman"/>
                      <w:caps w:val="0"/>
                      <w:smallCaps w:val="0"/>
                      <w:color w:val="auto"/>
                      <w:w w:val="100"/>
                      <w:kern w:val="2"/>
                      <w:sz w:val="21"/>
                      <w:highlight w:val="none"/>
                      <w:lang w:eastAsia="zh-CN"/>
                    </w:rPr>
                    <w:t>托盘有效容积0.</w:t>
                  </w:r>
                  <w:r>
                    <w:rPr>
                      <w:rFonts w:hint="eastAsia" w:ascii="Times New Roman" w:hAnsi="Times New Roman" w:eastAsia="宋体" w:cs="Times New Roman"/>
                      <w:caps w:val="0"/>
                      <w:smallCaps w:val="0"/>
                      <w:color w:val="auto"/>
                      <w:w w:val="100"/>
                      <w:kern w:val="2"/>
                      <w:sz w:val="21"/>
                      <w:highlight w:val="none"/>
                      <w:lang w:val="en-US" w:eastAsia="zh-CN"/>
                    </w:rPr>
                    <w:t>2</w:t>
                  </w:r>
                  <w:r>
                    <w:rPr>
                      <w:rFonts w:hint="eastAsia" w:ascii="Times New Roman" w:hAnsi="Times New Roman" w:eastAsia="宋体" w:cs="Times New Roman"/>
                      <w:caps w:val="0"/>
                      <w:smallCaps w:val="0"/>
                      <w:color w:val="auto"/>
                      <w:w w:val="100"/>
                      <w:kern w:val="2"/>
                      <w:sz w:val="21"/>
                      <w:highlight w:val="none"/>
                      <w:lang w:eastAsia="zh-CN"/>
                    </w:rPr>
                    <w:t>m</w:t>
                  </w:r>
                  <w:r>
                    <w:rPr>
                      <w:rFonts w:hint="eastAsia" w:ascii="Times New Roman" w:hAnsi="Times New Roman" w:eastAsia="宋体" w:cs="Times New Roman"/>
                      <w:caps w:val="0"/>
                      <w:smallCaps w:val="0"/>
                      <w:color w:val="auto"/>
                      <w:w w:val="100"/>
                      <w:kern w:val="2"/>
                      <w:sz w:val="21"/>
                      <w:highlight w:val="none"/>
                      <w:vertAlign w:val="superscript"/>
                      <w:lang w:eastAsia="zh-CN"/>
                    </w:rPr>
                    <w:t>3</w:t>
                  </w:r>
                  <w:r>
                    <w:rPr>
                      <w:rFonts w:hint="eastAsia" w:ascii="Times New Roman" w:hAnsi="Times New Roman" w:eastAsia="宋体" w:cs="Times New Roman"/>
                      <w:caps w:val="0"/>
                      <w:smallCaps w:val="0"/>
                      <w:color w:val="auto"/>
                      <w:w w:val="100"/>
                      <w:kern w:val="2"/>
                      <w:sz w:val="21"/>
                      <w:highlight w:val="none"/>
                      <w:lang w:eastAsia="zh-CN"/>
                    </w:rPr>
                    <w:t>，可容纳单个油桶全部泄漏物料。禁止明火。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8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aps w:val="0"/>
                      <w:smallCaps w:val="0"/>
                      <w:color w:val="auto"/>
                      <w:w w:val="100"/>
                      <w:sz w:val="21"/>
                      <w:szCs w:val="23"/>
                      <w:highlight w:val="none"/>
                      <w:lang w:eastAsia="zh-CN"/>
                    </w:rPr>
                  </w:pPr>
                  <w:r>
                    <w:rPr>
                      <w:rFonts w:hint="eastAsia" w:ascii="Times New Roman" w:hAnsi="Times New Roman"/>
                      <w:caps w:val="0"/>
                      <w:smallCaps w:val="0"/>
                      <w:color w:val="auto"/>
                      <w:w w:val="100"/>
                      <w:sz w:val="21"/>
                      <w:szCs w:val="23"/>
                      <w:highlight w:val="none"/>
                      <w:lang w:eastAsia="zh-CN"/>
                    </w:rPr>
                    <w:t>危废暂存间</w:t>
                  </w:r>
                </w:p>
              </w:tc>
              <w:tc>
                <w:tcPr>
                  <w:tcW w:w="4314" w:type="pct"/>
                  <w:noWrap w:val="0"/>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aps w:val="0"/>
                      <w:smallCaps w:val="0"/>
                      <w:color w:val="auto"/>
                      <w:w w:val="100"/>
                      <w:sz w:val="21"/>
                      <w:szCs w:val="23"/>
                      <w:highlight w:val="none"/>
                      <w:lang w:eastAsia="zh-CN"/>
                    </w:rPr>
                  </w:pPr>
                  <w:r>
                    <w:rPr>
                      <w:rFonts w:hint="eastAsia" w:ascii="Times New Roman" w:hAnsi="Times New Roman" w:eastAsia="宋体" w:cs="Times New Roman"/>
                      <w:caps w:val="0"/>
                      <w:smallCaps w:val="0"/>
                      <w:color w:val="auto"/>
                      <w:w w:val="100"/>
                      <w:kern w:val="2"/>
                      <w:sz w:val="21"/>
                      <w:highlight w:val="none"/>
                      <w:lang w:eastAsia="zh-CN"/>
                    </w:rPr>
                    <w:t>危废暂存间做重点防渗，将</w:t>
                  </w:r>
                  <w:r>
                    <w:rPr>
                      <w:rFonts w:hint="eastAsia" w:ascii="Times New Roman" w:hAnsi="Times New Roman" w:eastAsia="宋体" w:cs="Times New Roman"/>
                      <w:caps w:val="0"/>
                      <w:smallCaps w:val="0"/>
                      <w:color w:val="auto"/>
                      <w:w w:val="100"/>
                      <w:kern w:val="2"/>
                      <w:sz w:val="21"/>
                      <w:highlight w:val="none"/>
                      <w:lang w:val="en-US" w:eastAsia="zh-CN"/>
                    </w:rPr>
                    <w:t>废润滑油、废液压油、废切削液置于</w:t>
                  </w:r>
                  <w:r>
                    <w:rPr>
                      <w:rFonts w:hint="eastAsia" w:ascii="Times New Roman" w:hAnsi="Times New Roman" w:eastAsia="宋体" w:cs="Times New Roman"/>
                      <w:caps w:val="0"/>
                      <w:smallCaps w:val="0"/>
                      <w:color w:val="auto"/>
                      <w:w w:val="100"/>
                      <w:kern w:val="2"/>
                      <w:sz w:val="21"/>
                      <w:highlight w:val="none"/>
                      <w:lang w:eastAsia="zh-CN"/>
                    </w:rPr>
                    <w:t>托盘内，</w:t>
                  </w:r>
                  <w:r>
                    <w:rPr>
                      <w:rFonts w:hint="eastAsia" w:ascii="Times New Roman" w:hAnsi="Times New Roman" w:eastAsia="宋体" w:cs="Times New Roman"/>
                      <w:caps w:val="0"/>
                      <w:smallCaps w:val="0"/>
                      <w:color w:val="auto"/>
                      <w:w w:val="100"/>
                      <w:kern w:val="2"/>
                      <w:sz w:val="21"/>
                      <w:highlight w:val="none"/>
                      <w:lang w:val="en-US" w:eastAsia="zh-CN"/>
                    </w:rPr>
                    <w:t>废润滑油、废液压油、废切削液</w:t>
                  </w:r>
                  <w:r>
                    <w:rPr>
                      <w:rFonts w:hint="eastAsia" w:ascii="Times New Roman" w:hAnsi="Times New Roman" w:eastAsia="宋体" w:cs="Times New Roman"/>
                      <w:caps w:val="0"/>
                      <w:smallCaps w:val="0"/>
                      <w:color w:val="auto"/>
                      <w:w w:val="100"/>
                      <w:kern w:val="2"/>
                      <w:sz w:val="21"/>
                      <w:highlight w:val="none"/>
                      <w:lang w:eastAsia="zh-CN"/>
                    </w:rPr>
                    <w:t>托盘有效容积</w:t>
                  </w:r>
                  <w:r>
                    <w:rPr>
                      <w:rFonts w:hint="eastAsia" w:ascii="Times New Roman" w:cs="Times New Roman"/>
                      <w:caps w:val="0"/>
                      <w:smallCaps w:val="0"/>
                      <w:color w:val="auto"/>
                      <w:w w:val="100"/>
                      <w:kern w:val="2"/>
                      <w:sz w:val="21"/>
                      <w:highlight w:val="none"/>
                      <w:lang w:val="en-US" w:eastAsia="zh-CN"/>
                    </w:rPr>
                    <w:t>0.5</w:t>
                  </w:r>
                  <w:r>
                    <w:rPr>
                      <w:rFonts w:hint="eastAsia" w:ascii="Times New Roman" w:hAnsi="Times New Roman" w:eastAsia="宋体" w:cs="Times New Roman"/>
                      <w:caps w:val="0"/>
                      <w:smallCaps w:val="0"/>
                      <w:color w:val="auto"/>
                      <w:w w:val="100"/>
                      <w:kern w:val="2"/>
                      <w:sz w:val="21"/>
                      <w:highlight w:val="none"/>
                      <w:lang w:eastAsia="zh-CN"/>
                    </w:rPr>
                    <w:t>m</w:t>
                  </w:r>
                  <w:r>
                    <w:rPr>
                      <w:rFonts w:hint="eastAsia" w:ascii="Times New Roman" w:hAnsi="Times New Roman" w:eastAsia="宋体" w:cs="Times New Roman"/>
                      <w:caps w:val="0"/>
                      <w:smallCaps w:val="0"/>
                      <w:color w:val="auto"/>
                      <w:w w:val="100"/>
                      <w:kern w:val="2"/>
                      <w:sz w:val="21"/>
                      <w:highlight w:val="none"/>
                      <w:vertAlign w:val="superscript"/>
                      <w:lang w:eastAsia="zh-CN"/>
                    </w:rPr>
                    <w:t>3</w:t>
                  </w:r>
                  <w:r>
                    <w:rPr>
                      <w:rFonts w:hint="eastAsia" w:ascii="Times New Roman" w:hAnsi="Times New Roman" w:eastAsia="宋体" w:cs="Times New Roman"/>
                      <w:caps w:val="0"/>
                      <w:smallCaps w:val="0"/>
                      <w:color w:val="auto"/>
                      <w:w w:val="100"/>
                      <w:kern w:val="2"/>
                      <w:sz w:val="21"/>
                      <w:highlight w:val="none"/>
                      <w:lang w:eastAsia="zh-CN"/>
                    </w:rPr>
                    <w:t>，可容纳单个油桶全部泄漏物料；禁止明火。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8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aps w:val="0"/>
                      <w:smallCaps w:val="0"/>
                      <w:color w:val="auto"/>
                      <w:w w:val="100"/>
                      <w:kern w:val="2"/>
                      <w:sz w:val="21"/>
                      <w:szCs w:val="24"/>
                      <w:highlight w:val="none"/>
                      <w:lang w:val="en-US" w:eastAsia="zh-CN" w:bidi="ar-SA"/>
                    </w:rPr>
                  </w:pPr>
                  <w:r>
                    <w:rPr>
                      <w:rFonts w:hint="eastAsia" w:ascii="Times New Roman" w:hAnsi="Times New Roman" w:eastAsia="宋体" w:cs="Times New Roman"/>
                      <w:caps w:val="0"/>
                      <w:smallCaps w:val="0"/>
                      <w:color w:val="auto"/>
                      <w:w w:val="100"/>
                      <w:kern w:val="2"/>
                      <w:sz w:val="21"/>
                      <w:szCs w:val="24"/>
                      <w:highlight w:val="none"/>
                      <w:lang w:val="en-US" w:eastAsia="zh-CN" w:bidi="ar-SA"/>
                    </w:rPr>
                    <w:t>丙烷罐存放区</w:t>
                  </w:r>
                </w:p>
              </w:tc>
              <w:tc>
                <w:tcPr>
                  <w:tcW w:w="4314" w:type="pct"/>
                  <w:noWrap w:val="0"/>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aps w:val="0"/>
                      <w:smallCaps w:val="0"/>
                      <w:color w:val="auto"/>
                      <w:w w:val="100"/>
                      <w:kern w:val="2"/>
                      <w:sz w:val="21"/>
                      <w:szCs w:val="24"/>
                      <w:highlight w:val="none"/>
                      <w:lang w:val="en-US" w:eastAsia="zh-CN" w:bidi="ar-SA"/>
                    </w:rPr>
                  </w:pPr>
                  <w:r>
                    <w:rPr>
                      <w:rFonts w:hint="eastAsia" w:ascii="Times New Roman" w:cs="Times New Roman"/>
                      <w:caps w:val="0"/>
                      <w:smallCaps w:val="0"/>
                      <w:color w:val="auto"/>
                      <w:w w:val="100"/>
                      <w:kern w:val="2"/>
                      <w:sz w:val="21"/>
                      <w:szCs w:val="24"/>
                      <w:highlight w:val="none"/>
                      <w:lang w:val="en-US" w:eastAsia="zh-CN" w:bidi="ar-SA"/>
                    </w:rPr>
                    <w:t>进行防渗，</w:t>
                  </w:r>
                  <w:r>
                    <w:rPr>
                      <w:rFonts w:hint="eastAsia" w:ascii="Times New Roman" w:hAnsi="Times New Roman" w:eastAsia="宋体" w:cs="Times New Roman"/>
                      <w:caps w:val="0"/>
                      <w:smallCaps w:val="0"/>
                      <w:color w:val="auto"/>
                      <w:w w:val="100"/>
                      <w:kern w:val="2"/>
                      <w:sz w:val="21"/>
                      <w:szCs w:val="24"/>
                      <w:highlight w:val="none"/>
                      <w:lang w:val="en-US" w:eastAsia="zh-CN" w:bidi="ar-SA"/>
                    </w:rPr>
                    <w:t>安装可燃气体检测报警装置，丙烷罐周边按照规定设置消防设施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8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aps w:val="0"/>
                      <w:smallCaps w:val="0"/>
                      <w:color w:val="auto"/>
                      <w:w w:val="100"/>
                      <w:kern w:val="2"/>
                      <w:sz w:val="21"/>
                      <w:szCs w:val="24"/>
                      <w:highlight w:val="none"/>
                      <w:lang w:val="en-US" w:eastAsia="zh-CN" w:bidi="ar-SA"/>
                    </w:rPr>
                  </w:pPr>
                  <w:r>
                    <w:rPr>
                      <w:rFonts w:hint="eastAsia" w:ascii="Times New Roman" w:hAnsi="Times New Roman" w:eastAsia="宋体" w:cs="Times New Roman"/>
                      <w:caps w:val="0"/>
                      <w:smallCaps w:val="0"/>
                      <w:color w:val="auto"/>
                      <w:w w:val="100"/>
                      <w:kern w:val="2"/>
                      <w:sz w:val="21"/>
                      <w:szCs w:val="24"/>
                      <w:highlight w:val="none"/>
                      <w:lang w:val="en-US" w:eastAsia="zh-CN" w:bidi="ar-SA"/>
                    </w:rPr>
                    <w:t>应急预案</w:t>
                  </w:r>
                </w:p>
              </w:tc>
              <w:tc>
                <w:tcPr>
                  <w:tcW w:w="4314" w:type="pct"/>
                  <w:noWrap w:val="0"/>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aps w:val="0"/>
                      <w:smallCaps w:val="0"/>
                      <w:color w:val="auto"/>
                      <w:w w:val="100"/>
                      <w:kern w:val="2"/>
                      <w:sz w:val="21"/>
                      <w:szCs w:val="24"/>
                      <w:highlight w:val="none"/>
                      <w:lang w:val="en-US" w:eastAsia="zh-CN" w:bidi="ar-SA"/>
                    </w:rPr>
                  </w:pPr>
                  <w:r>
                    <w:rPr>
                      <w:rFonts w:hint="eastAsia" w:ascii="Times New Roman" w:hAnsi="Times New Roman" w:eastAsia="宋体" w:cs="Times New Roman"/>
                      <w:caps w:val="0"/>
                      <w:smallCaps w:val="0"/>
                      <w:color w:val="auto"/>
                      <w:w w:val="100"/>
                      <w:kern w:val="2"/>
                      <w:sz w:val="21"/>
                      <w:szCs w:val="24"/>
                      <w:highlight w:val="none"/>
                      <w:lang w:val="en-US" w:eastAsia="zh-CN" w:bidi="ar-SA"/>
                    </w:rPr>
                    <w:t>项目建成后，按要求编制应急预案，并严格落实应急预案防范措施，降低突发事故造成的影响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8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aps w:val="0"/>
                      <w:smallCaps w:val="0"/>
                      <w:color w:val="auto"/>
                      <w:w w:val="100"/>
                      <w:sz w:val="21"/>
                      <w:szCs w:val="23"/>
                      <w:highlight w:val="none"/>
                      <w:lang w:eastAsia="zh-CN"/>
                    </w:rPr>
                  </w:pPr>
                  <w:r>
                    <w:rPr>
                      <w:rFonts w:hint="eastAsia" w:ascii="Times New Roman" w:hAnsi="Times New Roman"/>
                      <w:caps w:val="0"/>
                      <w:smallCaps w:val="0"/>
                      <w:color w:val="auto"/>
                      <w:w w:val="100"/>
                      <w:sz w:val="21"/>
                      <w:szCs w:val="23"/>
                      <w:highlight w:val="none"/>
                      <w:lang w:eastAsia="zh-CN"/>
                    </w:rPr>
                    <w:t>其他措施</w:t>
                  </w:r>
                </w:p>
              </w:tc>
              <w:tc>
                <w:tcPr>
                  <w:tcW w:w="4314" w:type="pct"/>
                  <w:noWrap w:val="0"/>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宋体" w:cs="Times New Roman"/>
                      <w:caps w:val="0"/>
                      <w:smallCaps w:val="0"/>
                      <w:color w:val="auto"/>
                      <w:w w:val="100"/>
                      <w:kern w:val="2"/>
                      <w:sz w:val="21"/>
                      <w:highlight w:val="none"/>
                    </w:rPr>
                  </w:pPr>
                  <w:r>
                    <w:rPr>
                      <w:rFonts w:hint="eastAsia" w:ascii="Times New Roman" w:hAnsi="Times New Roman" w:eastAsia="宋体" w:cs="Times New Roman"/>
                      <w:caps w:val="0"/>
                      <w:smallCaps w:val="0"/>
                      <w:color w:val="auto"/>
                      <w:w w:val="100"/>
                      <w:kern w:val="2"/>
                      <w:sz w:val="21"/>
                      <w:highlight w:val="none"/>
                    </w:rPr>
                    <w:t>设置干粉或二氧化碳灭火器</w:t>
                  </w:r>
                  <w:r>
                    <w:rPr>
                      <w:rFonts w:hint="eastAsia" w:ascii="Times New Roman" w:hAnsi="Times New Roman" w:eastAsia="宋体" w:cs="Times New Roman"/>
                      <w:caps w:val="0"/>
                      <w:smallCaps w:val="0"/>
                      <w:color w:val="auto"/>
                      <w:w w:val="100"/>
                      <w:kern w:val="2"/>
                      <w:sz w:val="21"/>
                      <w:highlight w:val="none"/>
                      <w:lang w:eastAsia="zh-CN"/>
                    </w:rPr>
                    <w:t>，</w:t>
                  </w:r>
                  <w:r>
                    <w:rPr>
                      <w:rFonts w:hint="eastAsia" w:ascii="Times New Roman" w:hAnsi="Times New Roman" w:eastAsia="宋体" w:cs="Times New Roman"/>
                      <w:caps w:val="0"/>
                      <w:smallCaps w:val="0"/>
                      <w:color w:val="auto"/>
                      <w:w w:val="100"/>
                      <w:kern w:val="2"/>
                      <w:sz w:val="21"/>
                      <w:highlight w:val="none"/>
                    </w:rPr>
                    <w:t>用于扑救火灾</w:t>
                  </w:r>
                </w:p>
              </w:tc>
            </w:tr>
          </w:tbl>
          <w:p>
            <w:pPr>
              <w:spacing w:line="500" w:lineRule="exact"/>
              <w:ind w:firstLine="480" w:firstLineChars="200"/>
              <w:jc w:val="center"/>
              <w:rPr>
                <w:rFonts w:hint="eastAsia" w:ascii="Times New Roman" w:hAnsi="Times New Roman" w:eastAsia="黑体"/>
                <w:caps w:val="0"/>
                <w:smallCaps w:val="0"/>
                <w:color w:val="auto"/>
                <w:w w:val="100"/>
                <w:sz w:val="24"/>
                <w:szCs w:val="24"/>
                <w:highlight w:val="none"/>
                <w:lang w:eastAsia="zh-CN"/>
              </w:rPr>
            </w:pPr>
          </w:p>
          <w:p>
            <w:pPr>
              <w:spacing w:line="500" w:lineRule="exact"/>
              <w:ind w:firstLine="480" w:firstLineChars="200"/>
              <w:jc w:val="center"/>
              <w:rPr>
                <w:rFonts w:hint="eastAsia" w:ascii="Times New Roman" w:hAnsi="Times New Roman" w:eastAsia="黑体"/>
                <w:caps w:val="0"/>
                <w:smallCaps w:val="0"/>
                <w:color w:val="auto"/>
                <w:w w:val="100"/>
                <w:sz w:val="24"/>
                <w:szCs w:val="24"/>
                <w:highlight w:val="none"/>
                <w:lang w:eastAsia="zh-CN"/>
              </w:rPr>
            </w:pPr>
          </w:p>
          <w:p>
            <w:pPr>
              <w:spacing w:line="500" w:lineRule="exact"/>
              <w:ind w:firstLine="480" w:firstLineChars="200"/>
              <w:jc w:val="center"/>
              <w:rPr>
                <w:rFonts w:hint="eastAsia" w:ascii="Times New Roman" w:hAnsi="Times New Roman" w:eastAsia="黑体"/>
                <w:caps w:val="0"/>
                <w:smallCaps w:val="0"/>
                <w:color w:val="auto"/>
                <w:w w:val="100"/>
                <w:sz w:val="24"/>
                <w:szCs w:val="24"/>
                <w:highlight w:val="none"/>
                <w:lang w:val="en-US" w:eastAsia="zh-CN"/>
              </w:rPr>
            </w:pPr>
            <w:r>
              <w:rPr>
                <w:rFonts w:hint="eastAsia" w:ascii="Times New Roman" w:hAnsi="Times New Roman" w:eastAsia="黑体"/>
                <w:caps w:val="0"/>
                <w:smallCaps w:val="0"/>
                <w:color w:val="auto"/>
                <w:w w:val="100"/>
                <w:sz w:val="24"/>
                <w:szCs w:val="24"/>
                <w:highlight w:val="none"/>
                <w:lang w:eastAsia="zh-CN"/>
              </w:rPr>
              <w:t>表</w:t>
            </w:r>
            <w:r>
              <w:rPr>
                <w:rFonts w:hint="eastAsia" w:ascii="Times New Roman" w:hAnsi="Times New Roman" w:eastAsia="黑体"/>
                <w:caps w:val="0"/>
                <w:smallCaps w:val="0"/>
                <w:color w:val="auto"/>
                <w:w w:val="100"/>
                <w:sz w:val="24"/>
                <w:szCs w:val="24"/>
                <w:highlight w:val="none"/>
                <w:lang w:val="en-US" w:eastAsia="zh-CN"/>
              </w:rPr>
              <w:t>4</w:t>
            </w:r>
            <w:r>
              <w:rPr>
                <w:rFonts w:hint="eastAsia" w:eastAsia="黑体"/>
                <w:caps w:val="0"/>
                <w:smallCaps w:val="0"/>
                <w:color w:val="auto"/>
                <w:w w:val="100"/>
                <w:sz w:val="24"/>
                <w:szCs w:val="24"/>
                <w:highlight w:val="none"/>
                <w:lang w:val="en-US" w:eastAsia="zh-CN"/>
              </w:rPr>
              <w:t>2</w:t>
            </w:r>
            <w:r>
              <w:rPr>
                <w:rFonts w:hint="eastAsia" w:ascii="Times New Roman" w:hAnsi="Times New Roman" w:eastAsia="黑体"/>
                <w:caps w:val="0"/>
                <w:smallCaps w:val="0"/>
                <w:color w:val="auto"/>
                <w:w w:val="100"/>
                <w:sz w:val="24"/>
                <w:szCs w:val="24"/>
                <w:highlight w:val="none"/>
                <w:lang w:val="en-US" w:eastAsia="zh-CN"/>
              </w:rPr>
              <w:t xml:space="preserve">  建设项目环境风险简单分析内容表</w:t>
            </w:r>
          </w:p>
          <w:tbl>
            <w:tblPr>
              <w:tblStyle w:val="3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217"/>
              <w:gridCol w:w="1170"/>
              <w:gridCol w:w="2009"/>
              <w:gridCol w:w="828"/>
              <w:gridCol w:w="1186"/>
              <w:gridCol w:w="17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11"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建设项目名称</w:t>
                  </w:r>
                </w:p>
              </w:tc>
              <w:tc>
                <w:tcPr>
                  <w:tcW w:w="3788" w:type="pct"/>
                  <w:gridSpan w:val="5"/>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caps w:val="0"/>
                      <w:smallCaps w:val="0"/>
                      <w:color w:val="auto"/>
                      <w:w w:val="100"/>
                      <w:sz w:val="21"/>
                      <w:szCs w:val="21"/>
                      <w:highlight w:val="none"/>
                      <w:vertAlign w:val="baseline"/>
                      <w:lang w:eastAsia="zh-CN"/>
                    </w:rPr>
                    <w:t>河北透平风机制造有限公司透平风机叶片激光熔覆修复及配件生产技改升级项目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11"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建设地点</w:t>
                  </w:r>
                </w:p>
              </w:tc>
              <w:tc>
                <w:tcPr>
                  <w:tcW w:w="639"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（河北）省</w:t>
                  </w:r>
                </w:p>
              </w:tc>
              <w:tc>
                <w:tcPr>
                  <w:tcW w:w="1097"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（唐山）市</w:t>
                  </w:r>
                </w:p>
              </w:tc>
              <w:tc>
                <w:tcPr>
                  <w:tcW w:w="452"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w:t>
                  </w:r>
                  <w:r>
                    <w:rPr>
                      <w:rFonts w:hint="eastAsia" w:ascii="Times New Roman" w:hAnsi="Times New Roman" w:eastAsia="宋体"/>
                      <w:caps w:val="0"/>
                      <w:smallCaps w:val="0"/>
                      <w:color w:val="auto"/>
                      <w:w w:val="100"/>
                      <w:sz w:val="21"/>
                      <w:szCs w:val="21"/>
                      <w:highlight w:val="none"/>
                      <w:vertAlign w:val="baseline"/>
                      <w:lang w:val="en-US" w:eastAsia="zh-CN"/>
                    </w:rPr>
                    <w:t>/</w:t>
                  </w:r>
                  <w:r>
                    <w:rPr>
                      <w:rFonts w:hint="eastAsia" w:ascii="Times New Roman" w:hAnsi="Times New Roman" w:eastAsia="宋体"/>
                      <w:caps w:val="0"/>
                      <w:smallCaps w:val="0"/>
                      <w:color w:val="auto"/>
                      <w:w w:val="100"/>
                      <w:sz w:val="21"/>
                      <w:szCs w:val="21"/>
                      <w:highlight w:val="none"/>
                      <w:vertAlign w:val="baseline"/>
                      <w:lang w:eastAsia="zh-CN"/>
                    </w:rPr>
                    <w:t>）</w:t>
                  </w:r>
                  <w:r>
                    <w:rPr>
                      <w:rFonts w:hint="eastAsia" w:ascii="Times New Roman" w:hAnsi="Times New Roman" w:eastAsia="宋体"/>
                      <w:caps w:val="0"/>
                      <w:smallCaps w:val="0"/>
                      <w:color w:val="auto"/>
                      <w:w w:val="100"/>
                      <w:sz w:val="21"/>
                      <w:szCs w:val="21"/>
                      <w:highlight w:val="none"/>
                      <w:vertAlign w:val="baseline"/>
                      <w:lang w:val="en-US" w:eastAsia="zh-CN"/>
                    </w:rPr>
                    <w:t>区</w:t>
                  </w:r>
                </w:p>
              </w:tc>
              <w:tc>
                <w:tcPr>
                  <w:tcW w:w="648"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w:t>
                  </w:r>
                  <w:r>
                    <w:rPr>
                      <w:rFonts w:hint="eastAsia"/>
                      <w:caps w:val="0"/>
                      <w:smallCaps w:val="0"/>
                      <w:color w:val="auto"/>
                      <w:w w:val="100"/>
                      <w:sz w:val="21"/>
                      <w:szCs w:val="21"/>
                      <w:highlight w:val="none"/>
                      <w:vertAlign w:val="baseline"/>
                      <w:lang w:eastAsia="zh-CN"/>
                    </w:rPr>
                    <w:t>迁安</w:t>
                  </w:r>
                  <w:r>
                    <w:rPr>
                      <w:rFonts w:hint="eastAsia" w:ascii="Times New Roman" w:hAnsi="Times New Roman" w:eastAsia="宋体"/>
                      <w:caps w:val="0"/>
                      <w:smallCaps w:val="0"/>
                      <w:color w:val="auto"/>
                      <w:w w:val="100"/>
                      <w:sz w:val="21"/>
                      <w:szCs w:val="21"/>
                      <w:highlight w:val="none"/>
                      <w:vertAlign w:val="baseline"/>
                      <w:lang w:eastAsia="zh-CN"/>
                    </w:rPr>
                    <w:t>市）县</w:t>
                  </w:r>
                </w:p>
              </w:tc>
              <w:tc>
                <w:tcPr>
                  <w:tcW w:w="951"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w:t>
                  </w:r>
                  <w:r>
                    <w:rPr>
                      <w:rFonts w:hint="eastAsia"/>
                      <w:color w:val="auto"/>
                      <w:kern w:val="24"/>
                      <w:sz w:val="21"/>
                      <w:szCs w:val="21"/>
                      <w:highlight w:val="none"/>
                      <w:lang w:eastAsia="zh-CN"/>
                    </w:rPr>
                    <w:t>河北迁安经济开发区</w:t>
                  </w:r>
                  <w:r>
                    <w:rPr>
                      <w:rFonts w:hint="eastAsia" w:ascii="Times New Roman" w:hAnsi="Times New Roman" w:eastAsia="宋体"/>
                      <w:caps w:val="0"/>
                      <w:smallCaps w:val="0"/>
                      <w:color w:val="auto"/>
                      <w:w w:val="100"/>
                      <w:sz w:val="21"/>
                      <w:szCs w:val="21"/>
                      <w:highlight w:val="none"/>
                      <w:vertAlign w:val="baseline"/>
                      <w:lang w:eastAsia="zh-CN"/>
                    </w:rPr>
                    <w:t>）园区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11"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地理位置坐标</w:t>
                  </w:r>
                </w:p>
              </w:tc>
              <w:tc>
                <w:tcPr>
                  <w:tcW w:w="639"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经度</w:t>
                  </w:r>
                </w:p>
              </w:tc>
              <w:tc>
                <w:tcPr>
                  <w:tcW w:w="1097"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val="en-US" w:eastAsia="zh-CN"/>
                    </w:rPr>
                  </w:pPr>
                  <w:r>
                    <w:rPr>
                      <w:rFonts w:hint="eastAsia" w:ascii="Times New Roman" w:hAnsi="Times New Roman" w:eastAsia="宋体"/>
                      <w:caps w:val="0"/>
                      <w:smallCaps w:val="0"/>
                      <w:color w:val="auto"/>
                      <w:w w:val="100"/>
                      <w:sz w:val="21"/>
                      <w:szCs w:val="21"/>
                      <w:highlight w:val="none"/>
                      <w:vertAlign w:val="baseline"/>
                      <w:lang w:eastAsia="zh-CN"/>
                    </w:rPr>
                    <w:t>东经</w:t>
                  </w:r>
                  <w:r>
                    <w:rPr>
                      <w:rFonts w:hint="eastAsia"/>
                      <w:color w:val="auto"/>
                      <w:sz w:val="21"/>
                      <w:szCs w:val="21"/>
                      <w:highlight w:val="none"/>
                    </w:rPr>
                    <w:t>118.</w:t>
                  </w:r>
                  <w:r>
                    <w:rPr>
                      <w:rFonts w:hint="eastAsia"/>
                      <w:color w:val="auto"/>
                      <w:sz w:val="21"/>
                      <w:szCs w:val="21"/>
                      <w:highlight w:val="none"/>
                      <w:lang w:val="en-US" w:eastAsia="zh-CN"/>
                    </w:rPr>
                    <w:t>602964</w:t>
                  </w:r>
                  <w:r>
                    <w:rPr>
                      <w:color w:val="auto"/>
                      <w:sz w:val="21"/>
                      <w:szCs w:val="21"/>
                      <w:highlight w:val="none"/>
                    </w:rPr>
                    <w:t>°</w:t>
                  </w:r>
                </w:p>
              </w:tc>
              <w:tc>
                <w:tcPr>
                  <w:tcW w:w="452"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纬度</w:t>
                  </w:r>
                </w:p>
              </w:tc>
              <w:tc>
                <w:tcPr>
                  <w:tcW w:w="1599" w:type="pct"/>
                  <w:gridSpan w:val="2"/>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北纬</w:t>
                  </w:r>
                  <w:r>
                    <w:rPr>
                      <w:rFonts w:hint="eastAsia"/>
                      <w:color w:val="auto"/>
                      <w:sz w:val="21"/>
                      <w:szCs w:val="21"/>
                      <w:highlight w:val="none"/>
                      <w:lang w:val="en-US" w:eastAsia="zh-CN"/>
                    </w:rPr>
                    <w:t>39.982366</w:t>
                  </w:r>
                  <w:r>
                    <w:rPr>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11"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主要危险物质及分布</w:t>
                  </w:r>
                </w:p>
              </w:tc>
              <w:tc>
                <w:tcPr>
                  <w:tcW w:w="3788" w:type="pct"/>
                  <w:gridSpan w:val="5"/>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olor w:val="auto"/>
                      <w:highlight w:val="none"/>
                      <w:lang w:eastAsia="zh-CN"/>
                    </w:rPr>
                  </w:pPr>
                  <w:r>
                    <w:rPr>
                      <w:rFonts w:hint="eastAsia"/>
                      <w:color w:val="auto"/>
                      <w:highlight w:val="none"/>
                      <w:lang w:val="en-US" w:eastAsia="zh-CN"/>
                    </w:rPr>
                    <w:t>1</w:t>
                  </w:r>
                  <w:r>
                    <w:rPr>
                      <w:rFonts w:hint="eastAsia"/>
                      <w:color w:val="auto"/>
                      <w:highlight w:val="none"/>
                    </w:rPr>
                    <w:t>：</w:t>
                  </w:r>
                  <w:r>
                    <w:rPr>
                      <w:rFonts w:hint="eastAsia"/>
                      <w:color w:val="auto"/>
                      <w:highlight w:val="none"/>
                      <w:lang w:val="en-US" w:eastAsia="zh-CN"/>
                    </w:rPr>
                    <w:t>润滑油、液压油、切削液</w:t>
                  </w:r>
                  <w:r>
                    <w:rPr>
                      <w:rFonts w:hint="eastAsia"/>
                      <w:color w:val="auto"/>
                      <w:highlight w:val="none"/>
                      <w:lang w:eastAsia="zh-CN"/>
                    </w:rPr>
                    <w:t>—油类物质储存区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olor w:val="auto"/>
                      <w:highlight w:val="none"/>
                      <w:lang w:eastAsia="zh-CN"/>
                    </w:rPr>
                  </w:pPr>
                  <w:r>
                    <w:rPr>
                      <w:rFonts w:hint="eastAsia"/>
                      <w:color w:val="auto"/>
                      <w:highlight w:val="none"/>
                      <w:lang w:val="en-US" w:eastAsia="zh-CN"/>
                    </w:rPr>
                    <w:t>2</w:t>
                  </w:r>
                  <w:r>
                    <w:rPr>
                      <w:rFonts w:hint="eastAsia"/>
                      <w:color w:val="auto"/>
                      <w:highlight w:val="none"/>
                    </w:rPr>
                    <w:t>：</w:t>
                  </w:r>
                  <w:r>
                    <w:rPr>
                      <w:rFonts w:hint="eastAsia"/>
                      <w:color w:val="auto"/>
                      <w:highlight w:val="none"/>
                      <w:lang w:eastAsia="zh-CN"/>
                    </w:rPr>
                    <w:t>废</w:t>
                  </w:r>
                  <w:r>
                    <w:rPr>
                      <w:rFonts w:hint="eastAsia"/>
                      <w:color w:val="auto"/>
                      <w:highlight w:val="none"/>
                      <w:lang w:val="en-US" w:eastAsia="zh-CN"/>
                    </w:rPr>
                    <w:t>润滑油、废液压油、废切削液</w:t>
                  </w:r>
                  <w:r>
                    <w:rPr>
                      <w:rFonts w:hint="eastAsia"/>
                      <w:color w:val="auto"/>
                      <w:highlight w:val="none"/>
                    </w:rPr>
                    <w:t>—</w:t>
                  </w:r>
                  <w:r>
                    <w:rPr>
                      <w:rFonts w:hint="eastAsia"/>
                      <w:color w:val="auto"/>
                      <w:highlight w:val="none"/>
                      <w:lang w:eastAsia="zh-CN"/>
                    </w:rPr>
                    <w:t>危废暂存间</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color w:val="auto"/>
                      <w:highlight w:val="none"/>
                      <w:lang w:val="en-US" w:eastAsia="zh-CN"/>
                    </w:rPr>
                  </w:pPr>
                  <w:r>
                    <w:rPr>
                      <w:rFonts w:hint="eastAsia"/>
                      <w:color w:val="auto"/>
                      <w:w w:val="100"/>
                      <w:sz w:val="21"/>
                      <w:szCs w:val="21"/>
                      <w:highlight w:val="none"/>
                      <w:lang w:val="en-US" w:eastAsia="zh-CN"/>
                    </w:rPr>
                    <w:t>3</w:t>
                  </w:r>
                  <w:r>
                    <w:rPr>
                      <w:rFonts w:hint="eastAsia" w:ascii="Times New Roman" w:hAnsi="Times New Roman"/>
                      <w:color w:val="auto"/>
                      <w:w w:val="100"/>
                      <w:sz w:val="21"/>
                      <w:szCs w:val="21"/>
                      <w:highlight w:val="none"/>
                    </w:rPr>
                    <w:t>：</w:t>
                  </w:r>
                  <w:r>
                    <w:rPr>
                      <w:rFonts w:hint="eastAsia"/>
                      <w:color w:val="auto"/>
                      <w:w w:val="100"/>
                      <w:sz w:val="21"/>
                      <w:szCs w:val="21"/>
                      <w:highlight w:val="none"/>
                      <w:lang w:eastAsia="zh-CN"/>
                    </w:rPr>
                    <w:t>丙烷</w:t>
                  </w:r>
                  <w:r>
                    <w:rPr>
                      <w:rFonts w:hint="eastAsia" w:ascii="Times New Roman" w:hAnsi="Times New Roman"/>
                      <w:color w:val="auto"/>
                      <w:w w:val="100"/>
                      <w:sz w:val="21"/>
                      <w:szCs w:val="21"/>
                      <w:highlight w:val="none"/>
                    </w:rPr>
                    <w:t>—</w:t>
                  </w:r>
                  <w:r>
                    <w:rPr>
                      <w:rFonts w:hint="eastAsia"/>
                      <w:color w:val="auto"/>
                      <w:w w:val="100"/>
                      <w:sz w:val="21"/>
                      <w:szCs w:val="21"/>
                      <w:highlight w:val="none"/>
                      <w:lang w:eastAsia="zh-CN"/>
                    </w:rPr>
                    <w:t>丙烷罐存放区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11"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vertAlign w:val="baseline"/>
                      <w:lang w:eastAsia="zh-CN"/>
                    </w:rPr>
                    <w:t>环境影响途径及危险后果（大气、地表水、地下水等）</w:t>
                  </w:r>
                </w:p>
              </w:tc>
              <w:tc>
                <w:tcPr>
                  <w:tcW w:w="3788" w:type="pct"/>
                  <w:gridSpan w:val="5"/>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Times New Roman" w:hAnsi="Times New Roman" w:eastAsia="宋体"/>
                      <w:caps w:val="0"/>
                      <w:smallCaps w:val="0"/>
                      <w:color w:val="auto"/>
                      <w:w w:val="100"/>
                      <w:sz w:val="21"/>
                      <w:szCs w:val="21"/>
                      <w:highlight w:val="none"/>
                      <w:vertAlign w:val="baseline"/>
                    </w:rPr>
                  </w:pPr>
                  <w:r>
                    <w:rPr>
                      <w:rFonts w:hint="eastAsia" w:ascii="Times New Roman" w:hAnsi="Times New Roman" w:eastAsia="宋体" w:cs="Times New Roman"/>
                      <w:caps w:val="0"/>
                      <w:smallCaps w:val="0"/>
                      <w:color w:val="auto"/>
                      <w:w w:val="100"/>
                      <w:kern w:val="2"/>
                      <w:sz w:val="21"/>
                      <w:szCs w:val="21"/>
                      <w:highlight w:val="none"/>
                      <w:lang w:val="en-US" w:eastAsia="zh-CN"/>
                    </w:rPr>
                    <w:t>润滑油、液压油、切削液</w:t>
                  </w:r>
                  <w:r>
                    <w:rPr>
                      <w:rFonts w:hint="eastAsia" w:cs="Times New Roman"/>
                      <w:caps w:val="0"/>
                      <w:smallCaps w:val="0"/>
                      <w:color w:val="auto"/>
                      <w:w w:val="100"/>
                      <w:kern w:val="2"/>
                      <w:sz w:val="21"/>
                      <w:szCs w:val="21"/>
                      <w:highlight w:val="none"/>
                      <w:lang w:val="en-US" w:eastAsia="zh-CN"/>
                    </w:rPr>
                    <w:t>、</w:t>
                  </w:r>
                  <w:r>
                    <w:rPr>
                      <w:rFonts w:hint="eastAsia"/>
                      <w:color w:val="auto"/>
                      <w:w w:val="100"/>
                      <w:sz w:val="21"/>
                      <w:szCs w:val="21"/>
                      <w:highlight w:val="none"/>
                      <w:lang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润滑油、</w:t>
                  </w:r>
                  <w:r>
                    <w:rPr>
                      <w:rFonts w:hint="eastAsia"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液压油、</w:t>
                  </w:r>
                  <w:r>
                    <w:rPr>
                      <w:rFonts w:hint="eastAsia"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切削液</w:t>
                  </w:r>
                  <w:r>
                    <w:rPr>
                      <w:rFonts w:hint="eastAsia" w:ascii="Times New Roman" w:hAnsi="Times New Roman" w:eastAsia="宋体"/>
                      <w:caps w:val="0"/>
                      <w:smallCaps w:val="0"/>
                      <w:color w:val="auto"/>
                      <w:w w:val="100"/>
                      <w:sz w:val="21"/>
                      <w:szCs w:val="21"/>
                      <w:highlight w:val="none"/>
                      <w:vertAlign w:val="baseline"/>
                      <w:lang w:eastAsia="zh-CN"/>
                    </w:rPr>
                    <w:t>泄漏</w:t>
                  </w:r>
                  <w:r>
                    <w:rPr>
                      <w:rFonts w:hint="eastAsia" w:ascii="Times New Roman" w:hAnsi="Times New Roman" w:eastAsia="宋体"/>
                      <w:caps w:val="0"/>
                      <w:smallCaps w:val="0"/>
                      <w:color w:val="auto"/>
                      <w:w w:val="100"/>
                      <w:sz w:val="21"/>
                      <w:szCs w:val="21"/>
                      <w:highlight w:val="none"/>
                      <w:vertAlign w:val="baseline"/>
                    </w:rPr>
                    <w:t>，污染地下水</w:t>
                  </w:r>
                  <w:r>
                    <w:rPr>
                      <w:rFonts w:hint="eastAsia"/>
                      <w:caps w:val="0"/>
                      <w:smallCaps w:val="0"/>
                      <w:color w:val="auto"/>
                      <w:w w:val="100"/>
                      <w:sz w:val="21"/>
                      <w:szCs w:val="21"/>
                      <w:highlight w:val="none"/>
                      <w:vertAlign w:val="baseline"/>
                      <w:lang w:eastAsia="zh-CN"/>
                    </w:rPr>
                    <w:t>、土壤等</w:t>
                  </w:r>
                  <w:r>
                    <w:rPr>
                      <w:rFonts w:hint="eastAsia" w:ascii="Times New Roman" w:hAnsi="Times New Roman" w:eastAsia="宋体"/>
                      <w:caps w:val="0"/>
                      <w:smallCaps w:val="0"/>
                      <w:color w:val="auto"/>
                      <w:w w:val="100"/>
                      <w:sz w:val="21"/>
                      <w:szCs w:val="21"/>
                      <w:highlight w:val="none"/>
                      <w:vertAlign w:val="baseline"/>
                      <w:lang w:eastAsia="zh-CN"/>
                    </w:rPr>
                    <w:t>；</w:t>
                  </w:r>
                  <w:r>
                    <w:rPr>
                      <w:rFonts w:hint="eastAsia" w:ascii="Times New Roman" w:hAnsi="Times New Roman" w:eastAsia="宋体"/>
                      <w:caps w:val="0"/>
                      <w:smallCaps w:val="0"/>
                      <w:color w:val="auto"/>
                      <w:w w:val="100"/>
                      <w:sz w:val="21"/>
                      <w:szCs w:val="21"/>
                      <w:highlight w:val="none"/>
                      <w:vertAlign w:val="baseline"/>
                      <w:lang w:val="en-US" w:eastAsia="zh-CN"/>
                    </w:rPr>
                    <w:t>泄漏遇明火</w:t>
                  </w:r>
                  <w:r>
                    <w:rPr>
                      <w:rFonts w:hint="eastAsia" w:ascii="Times New Roman" w:hAnsi="Times New Roman" w:eastAsia="宋体"/>
                      <w:caps w:val="0"/>
                      <w:smallCaps w:val="0"/>
                      <w:color w:val="auto"/>
                      <w:w w:val="100"/>
                      <w:sz w:val="21"/>
                      <w:szCs w:val="21"/>
                      <w:highlight w:val="none"/>
                      <w:vertAlign w:val="baseline"/>
                      <w:lang w:eastAsia="zh-CN"/>
                    </w:rPr>
                    <w:t>引发火灾等次生灾害，污染大气。</w:t>
                  </w:r>
                  <w:r>
                    <w:rPr>
                      <w:rFonts w:hint="eastAsia"/>
                      <w:caps w:val="0"/>
                      <w:smallCaps w:val="0"/>
                      <w:color w:val="auto"/>
                      <w:w w:val="100"/>
                      <w:sz w:val="21"/>
                      <w:szCs w:val="21"/>
                      <w:highlight w:val="none"/>
                      <w:vertAlign w:val="baseline"/>
                      <w:lang w:eastAsia="zh-CN"/>
                    </w:rPr>
                    <w:t>丙烷</w:t>
                  </w:r>
                  <w:r>
                    <w:rPr>
                      <w:color w:val="auto"/>
                      <w:szCs w:val="21"/>
                      <w:highlight w:val="none"/>
                    </w:rPr>
                    <w:t>泄漏，火灾、爆炸引发的伴生/次生污染物排放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11" w:type="pct"/>
                  <w:noWrap w:val="0"/>
                  <w:vAlign w:val="center"/>
                </w:tcPr>
                <w:p>
                  <w:pPr>
                    <w:pStyle w:val="7"/>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eastAsia" w:ascii="Times New Roman" w:hAnsi="Times New Roman" w:eastAsia="宋体"/>
                      <w:caps w:val="0"/>
                      <w:smallCaps w:val="0"/>
                      <w:color w:val="auto"/>
                      <w:w w:val="100"/>
                      <w:sz w:val="21"/>
                      <w:szCs w:val="21"/>
                      <w:highlight w:val="none"/>
                      <w:vertAlign w:val="baseline"/>
                      <w:lang w:eastAsia="zh-CN"/>
                    </w:rPr>
                  </w:pPr>
                  <w:r>
                    <w:rPr>
                      <w:rFonts w:hint="eastAsia" w:ascii="Times New Roman" w:hAnsi="Times New Roman" w:eastAsia="宋体"/>
                      <w:caps w:val="0"/>
                      <w:smallCaps w:val="0"/>
                      <w:color w:val="auto"/>
                      <w:w w:val="100"/>
                      <w:sz w:val="21"/>
                      <w:szCs w:val="21"/>
                      <w:highlight w:val="none"/>
                    </w:rPr>
                    <w:t>风险防范措施要求</w:t>
                  </w:r>
                </w:p>
              </w:tc>
              <w:tc>
                <w:tcPr>
                  <w:tcW w:w="3788" w:type="pct"/>
                  <w:gridSpan w:val="5"/>
                  <w:noWrap w:val="0"/>
                  <w:vAlign w:val="center"/>
                </w:tcPr>
                <w:p>
                  <w:pPr>
                    <w:pStyle w:val="2"/>
                    <w:keepNext w:val="0"/>
                    <w:keepLines w:val="0"/>
                    <w:pageBreakBefore w:val="0"/>
                    <w:widowControl w:val="0"/>
                    <w:numPr>
                      <w:ilvl w:val="0"/>
                      <w:numId w:val="8"/>
                    </w:numPr>
                    <w:kinsoku/>
                    <w:wordWrap/>
                    <w:overflowPunct/>
                    <w:topLinePunct w:val="0"/>
                    <w:bidi w:val="0"/>
                    <w:snapToGrid/>
                    <w:spacing w:line="240" w:lineRule="auto"/>
                    <w:textAlignment w:val="auto"/>
                    <w:rPr>
                      <w:rFonts w:hint="eastAsia" w:ascii="Times New Roman" w:hAnsi="Times New Roman" w:eastAsia="宋体" w:cs="Times New Roman"/>
                      <w:caps w:val="0"/>
                      <w:smallCaps w:val="0"/>
                      <w:color w:val="auto"/>
                      <w:w w:val="100"/>
                      <w:kern w:val="2"/>
                      <w:sz w:val="21"/>
                      <w:highlight w:val="none"/>
                      <w:lang w:eastAsia="zh-CN"/>
                    </w:rPr>
                  </w:pPr>
                  <w:r>
                    <w:rPr>
                      <w:rFonts w:hint="eastAsia" w:ascii="Times New Roman" w:cs="Times New Roman"/>
                      <w:caps w:val="0"/>
                      <w:smallCaps w:val="0"/>
                      <w:color w:val="auto"/>
                      <w:w w:val="100"/>
                      <w:kern w:val="2"/>
                      <w:sz w:val="21"/>
                      <w:highlight w:val="none"/>
                      <w:lang w:eastAsia="zh-CN"/>
                    </w:rPr>
                    <w:t>油类物质</w:t>
                  </w:r>
                  <w:r>
                    <w:rPr>
                      <w:rFonts w:hint="eastAsia" w:ascii="Times New Roman" w:hAnsi="Times New Roman" w:eastAsia="宋体" w:cs="Times New Roman"/>
                      <w:caps w:val="0"/>
                      <w:smallCaps w:val="0"/>
                      <w:color w:val="auto"/>
                      <w:w w:val="100"/>
                      <w:kern w:val="2"/>
                      <w:sz w:val="21"/>
                      <w:highlight w:val="none"/>
                      <w:lang w:eastAsia="zh-CN"/>
                    </w:rPr>
                    <w:t>储存区</w:t>
                  </w:r>
                  <w:r>
                    <w:rPr>
                      <w:rFonts w:ascii="Times New Roman" w:hAnsi="Times New Roman" w:eastAsia="宋体" w:cs="Times New Roman"/>
                      <w:caps w:val="0"/>
                      <w:smallCaps w:val="0"/>
                      <w:color w:val="auto"/>
                      <w:w w:val="100"/>
                      <w:kern w:val="2"/>
                      <w:sz w:val="21"/>
                      <w:highlight w:val="none"/>
                    </w:rPr>
                    <w:t>：</w:t>
                  </w:r>
                  <w:r>
                    <w:rPr>
                      <w:rFonts w:hint="eastAsia" w:ascii="Times New Roman" w:hAnsi="Times New Roman" w:eastAsia="宋体" w:cs="Times New Roman"/>
                      <w:caps w:val="0"/>
                      <w:smallCaps w:val="0"/>
                      <w:color w:val="auto"/>
                      <w:w w:val="100"/>
                      <w:kern w:val="2"/>
                      <w:sz w:val="21"/>
                      <w:szCs w:val="21"/>
                      <w:highlight w:val="none"/>
                      <w:lang w:val="en-US" w:eastAsia="zh-CN"/>
                    </w:rPr>
                    <w:t>润滑油、液压油、切削液</w:t>
                  </w:r>
                  <w:r>
                    <w:rPr>
                      <w:rFonts w:hint="eastAsia" w:ascii="Times New Roman" w:hAnsi="Times New Roman" w:eastAsia="宋体" w:cs="Times New Roman"/>
                      <w:caps w:val="0"/>
                      <w:smallCaps w:val="0"/>
                      <w:color w:val="auto"/>
                      <w:w w:val="100"/>
                      <w:kern w:val="2"/>
                      <w:sz w:val="21"/>
                      <w:highlight w:val="none"/>
                      <w:lang w:eastAsia="zh-CN"/>
                    </w:rPr>
                    <w:t>堆放区设置托盘，将所有桶装</w:t>
                  </w:r>
                  <w:r>
                    <w:rPr>
                      <w:rFonts w:hint="eastAsia" w:ascii="Times New Roman" w:hAnsi="Times New Roman" w:eastAsia="宋体" w:cs="Times New Roman"/>
                      <w:caps w:val="0"/>
                      <w:smallCaps w:val="0"/>
                      <w:color w:val="auto"/>
                      <w:w w:val="100"/>
                      <w:kern w:val="2"/>
                      <w:sz w:val="21"/>
                      <w:szCs w:val="21"/>
                      <w:highlight w:val="none"/>
                      <w:lang w:val="en-US" w:eastAsia="zh-CN"/>
                    </w:rPr>
                    <w:t>润滑油、液压油、切削液</w:t>
                  </w:r>
                  <w:r>
                    <w:rPr>
                      <w:rFonts w:hint="eastAsia" w:ascii="Times New Roman" w:hAnsi="Times New Roman" w:eastAsia="宋体" w:cs="Times New Roman"/>
                      <w:caps w:val="0"/>
                      <w:smallCaps w:val="0"/>
                      <w:color w:val="auto"/>
                      <w:w w:val="100"/>
                      <w:kern w:val="2"/>
                      <w:sz w:val="21"/>
                      <w:highlight w:val="none"/>
                      <w:lang w:eastAsia="zh-CN"/>
                    </w:rPr>
                    <w:t>置于托盘内，</w:t>
                  </w:r>
                  <w:r>
                    <w:rPr>
                      <w:rFonts w:hint="eastAsia" w:ascii="Times New Roman" w:hAnsi="Times New Roman" w:eastAsia="宋体" w:cs="Times New Roman"/>
                      <w:caps w:val="0"/>
                      <w:smallCaps w:val="0"/>
                      <w:color w:val="auto"/>
                      <w:w w:val="100"/>
                      <w:kern w:val="2"/>
                      <w:sz w:val="21"/>
                      <w:szCs w:val="21"/>
                      <w:highlight w:val="none"/>
                      <w:lang w:val="en-US" w:eastAsia="zh-CN"/>
                    </w:rPr>
                    <w:t>润滑油、液压油、切削液</w:t>
                  </w:r>
                  <w:r>
                    <w:rPr>
                      <w:rFonts w:hint="eastAsia" w:ascii="Times New Roman" w:hAnsi="Times New Roman" w:eastAsia="宋体" w:cs="Times New Roman"/>
                      <w:caps w:val="0"/>
                      <w:smallCaps w:val="0"/>
                      <w:color w:val="auto"/>
                      <w:w w:val="100"/>
                      <w:kern w:val="2"/>
                      <w:sz w:val="21"/>
                      <w:highlight w:val="none"/>
                      <w:lang w:eastAsia="zh-CN"/>
                    </w:rPr>
                    <w:t>托盘有效容积0.</w:t>
                  </w:r>
                  <w:r>
                    <w:rPr>
                      <w:rFonts w:hint="eastAsia" w:ascii="Times New Roman" w:hAnsi="Times New Roman" w:eastAsia="宋体" w:cs="Times New Roman"/>
                      <w:caps w:val="0"/>
                      <w:smallCaps w:val="0"/>
                      <w:color w:val="auto"/>
                      <w:w w:val="100"/>
                      <w:kern w:val="2"/>
                      <w:sz w:val="21"/>
                      <w:highlight w:val="none"/>
                      <w:lang w:val="en-US" w:eastAsia="zh-CN"/>
                    </w:rPr>
                    <w:t>2</w:t>
                  </w:r>
                  <w:r>
                    <w:rPr>
                      <w:rFonts w:hint="eastAsia" w:ascii="Times New Roman" w:hAnsi="Times New Roman" w:eastAsia="宋体" w:cs="Times New Roman"/>
                      <w:caps w:val="0"/>
                      <w:smallCaps w:val="0"/>
                      <w:color w:val="auto"/>
                      <w:w w:val="100"/>
                      <w:kern w:val="2"/>
                      <w:sz w:val="21"/>
                      <w:highlight w:val="none"/>
                      <w:lang w:eastAsia="zh-CN"/>
                    </w:rPr>
                    <w:t>m</w:t>
                  </w:r>
                  <w:r>
                    <w:rPr>
                      <w:rFonts w:hint="eastAsia" w:ascii="Times New Roman" w:hAnsi="Times New Roman" w:eastAsia="宋体" w:cs="Times New Roman"/>
                      <w:caps w:val="0"/>
                      <w:smallCaps w:val="0"/>
                      <w:color w:val="auto"/>
                      <w:w w:val="100"/>
                      <w:kern w:val="2"/>
                      <w:sz w:val="21"/>
                      <w:highlight w:val="none"/>
                      <w:vertAlign w:val="superscript"/>
                      <w:lang w:eastAsia="zh-CN"/>
                    </w:rPr>
                    <w:t>3</w:t>
                  </w:r>
                  <w:r>
                    <w:rPr>
                      <w:rFonts w:hint="eastAsia" w:ascii="Times New Roman" w:hAnsi="Times New Roman" w:eastAsia="宋体" w:cs="Times New Roman"/>
                      <w:caps w:val="0"/>
                      <w:smallCaps w:val="0"/>
                      <w:color w:val="auto"/>
                      <w:w w:val="100"/>
                      <w:kern w:val="2"/>
                      <w:sz w:val="21"/>
                      <w:highlight w:val="none"/>
                      <w:lang w:eastAsia="zh-CN"/>
                    </w:rPr>
                    <w:t>，可容纳单个油桶全部泄漏物料。</w:t>
                  </w:r>
                </w:p>
                <w:p>
                  <w:pPr>
                    <w:pStyle w:val="2"/>
                    <w:keepNext w:val="0"/>
                    <w:keepLines w:val="0"/>
                    <w:pageBreakBefore w:val="0"/>
                    <w:widowControl w:val="0"/>
                    <w:numPr>
                      <w:ilvl w:val="0"/>
                      <w:numId w:val="0"/>
                    </w:numPr>
                    <w:kinsoku/>
                    <w:wordWrap/>
                    <w:overflowPunct/>
                    <w:topLinePunct w:val="0"/>
                    <w:bidi w:val="0"/>
                    <w:snapToGrid/>
                    <w:spacing w:line="240" w:lineRule="auto"/>
                    <w:textAlignment w:val="auto"/>
                    <w:rPr>
                      <w:rFonts w:hint="eastAsia" w:ascii="Times New Roman" w:hAnsi="Times New Roman" w:eastAsia="宋体" w:cs="Times New Roman"/>
                      <w:caps w:val="0"/>
                      <w:smallCaps w:val="0"/>
                      <w:color w:val="auto"/>
                      <w:w w:val="100"/>
                      <w:kern w:val="2"/>
                      <w:sz w:val="21"/>
                      <w:highlight w:val="none"/>
                      <w:lang w:eastAsia="zh-CN"/>
                    </w:rPr>
                  </w:pPr>
                  <w:r>
                    <w:rPr>
                      <w:rFonts w:hint="eastAsia" w:ascii="Times New Roman" w:hAnsi="Times New Roman" w:eastAsia="宋体" w:cs="Times New Roman"/>
                      <w:caps w:val="0"/>
                      <w:smallCaps w:val="0"/>
                      <w:color w:val="auto"/>
                      <w:w w:val="100"/>
                      <w:kern w:val="2"/>
                      <w:sz w:val="21"/>
                      <w:highlight w:val="none"/>
                      <w:lang w:val="en-US" w:eastAsia="zh-CN"/>
                    </w:rPr>
                    <w:t>2、</w:t>
                  </w:r>
                  <w:r>
                    <w:rPr>
                      <w:rFonts w:hint="eastAsia" w:ascii="Times New Roman" w:hAnsi="Times New Roman" w:eastAsia="宋体"/>
                      <w:caps w:val="0"/>
                      <w:smallCaps w:val="0"/>
                      <w:color w:val="auto"/>
                      <w:w w:val="100"/>
                      <w:sz w:val="21"/>
                      <w:szCs w:val="21"/>
                      <w:highlight w:val="none"/>
                    </w:rPr>
                    <w:t>危废暂存间：</w:t>
                  </w:r>
                  <w:r>
                    <w:rPr>
                      <w:rFonts w:hint="eastAsia" w:ascii="Times New Roman" w:hAnsi="Times New Roman" w:eastAsia="宋体" w:cs="Times New Roman"/>
                      <w:caps w:val="0"/>
                      <w:smallCaps w:val="0"/>
                      <w:color w:val="auto"/>
                      <w:w w:val="100"/>
                      <w:kern w:val="2"/>
                      <w:sz w:val="21"/>
                      <w:highlight w:val="none"/>
                      <w:lang w:eastAsia="zh-CN"/>
                    </w:rPr>
                    <w:t>将</w:t>
                  </w:r>
                  <w:r>
                    <w:rPr>
                      <w:rFonts w:hint="eastAsia" w:ascii="Times New Roman" w:cs="Times New Roman"/>
                      <w:caps w:val="0"/>
                      <w:smallCaps w:val="0"/>
                      <w:color w:val="auto"/>
                      <w:w w:val="100"/>
                      <w:kern w:val="2"/>
                      <w:sz w:val="21"/>
                      <w:highlight w:val="none"/>
                      <w:lang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润滑油、</w:t>
                  </w:r>
                  <w:r>
                    <w:rPr>
                      <w:rFonts w:hint="eastAsia" w:ascii="Times New Roman"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液压油、</w:t>
                  </w:r>
                  <w:r>
                    <w:rPr>
                      <w:rFonts w:hint="eastAsia" w:ascii="Times New Roman"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切削液</w:t>
                  </w:r>
                  <w:r>
                    <w:rPr>
                      <w:rFonts w:hint="eastAsia" w:ascii="Times New Roman" w:hAnsi="Times New Roman" w:eastAsia="宋体" w:cs="Times New Roman"/>
                      <w:caps w:val="0"/>
                      <w:smallCaps w:val="0"/>
                      <w:color w:val="auto"/>
                      <w:w w:val="100"/>
                      <w:kern w:val="2"/>
                      <w:sz w:val="21"/>
                      <w:highlight w:val="none"/>
                      <w:lang w:eastAsia="zh-CN"/>
                    </w:rPr>
                    <w:t>置于托盘内，</w:t>
                  </w:r>
                  <w:r>
                    <w:rPr>
                      <w:rFonts w:hint="eastAsia" w:ascii="Times New Roman" w:cs="Times New Roman"/>
                      <w:caps w:val="0"/>
                      <w:smallCaps w:val="0"/>
                      <w:color w:val="auto"/>
                      <w:w w:val="100"/>
                      <w:kern w:val="2"/>
                      <w:sz w:val="21"/>
                      <w:highlight w:val="none"/>
                      <w:lang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润滑油、</w:t>
                  </w:r>
                  <w:r>
                    <w:rPr>
                      <w:rFonts w:hint="eastAsia" w:ascii="Times New Roman"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液压油、</w:t>
                  </w:r>
                  <w:r>
                    <w:rPr>
                      <w:rFonts w:hint="eastAsia" w:ascii="Times New Roman"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切削</w:t>
                  </w:r>
                  <w:r>
                    <w:rPr>
                      <w:rFonts w:hint="eastAsia" w:ascii="Times New Roman" w:hAnsi="Times New Roman" w:eastAsia="宋体" w:cs="Times New Roman"/>
                      <w:caps w:val="0"/>
                      <w:smallCaps w:val="0"/>
                      <w:color w:val="auto"/>
                      <w:w w:val="100"/>
                      <w:kern w:val="2"/>
                      <w:sz w:val="21"/>
                      <w:highlight w:val="none"/>
                      <w:lang w:eastAsia="zh-CN"/>
                    </w:rPr>
                    <w:t>托盘有效容积0.</w:t>
                  </w:r>
                  <w:r>
                    <w:rPr>
                      <w:rFonts w:hint="eastAsia" w:ascii="Times New Roman" w:cs="Times New Roman"/>
                      <w:caps w:val="0"/>
                      <w:smallCaps w:val="0"/>
                      <w:color w:val="auto"/>
                      <w:w w:val="100"/>
                      <w:kern w:val="2"/>
                      <w:sz w:val="21"/>
                      <w:highlight w:val="none"/>
                      <w:lang w:val="en-US" w:eastAsia="zh-CN"/>
                    </w:rPr>
                    <w:t>5</w:t>
                  </w:r>
                  <w:r>
                    <w:rPr>
                      <w:rFonts w:hint="eastAsia" w:ascii="Times New Roman" w:hAnsi="Times New Roman" w:eastAsia="宋体" w:cs="Times New Roman"/>
                      <w:caps w:val="0"/>
                      <w:smallCaps w:val="0"/>
                      <w:color w:val="auto"/>
                      <w:w w:val="100"/>
                      <w:kern w:val="2"/>
                      <w:sz w:val="21"/>
                      <w:highlight w:val="none"/>
                      <w:lang w:eastAsia="zh-CN"/>
                    </w:rPr>
                    <w:t>m</w:t>
                  </w:r>
                  <w:r>
                    <w:rPr>
                      <w:rFonts w:hint="eastAsia" w:ascii="Times New Roman" w:hAnsi="Times New Roman" w:eastAsia="宋体" w:cs="Times New Roman"/>
                      <w:caps w:val="0"/>
                      <w:smallCaps w:val="0"/>
                      <w:color w:val="auto"/>
                      <w:w w:val="100"/>
                      <w:kern w:val="2"/>
                      <w:sz w:val="21"/>
                      <w:highlight w:val="none"/>
                      <w:vertAlign w:val="superscript"/>
                      <w:lang w:eastAsia="zh-CN"/>
                    </w:rPr>
                    <w:t>3</w:t>
                  </w:r>
                  <w:r>
                    <w:rPr>
                      <w:rFonts w:hint="eastAsia" w:ascii="Times New Roman" w:hAnsi="Times New Roman" w:eastAsia="宋体" w:cs="Times New Roman"/>
                      <w:caps w:val="0"/>
                      <w:smallCaps w:val="0"/>
                      <w:color w:val="auto"/>
                      <w:w w:val="100"/>
                      <w:kern w:val="2"/>
                      <w:sz w:val="21"/>
                      <w:highlight w:val="none"/>
                      <w:lang w:eastAsia="zh-CN"/>
                    </w:rPr>
                    <w:t>，可容纳单个油桶全部泄漏物料。</w:t>
                  </w:r>
                </w:p>
                <w:p>
                  <w:pPr>
                    <w:pStyle w:val="7"/>
                    <w:keepNext w:val="0"/>
                    <w:keepLines w:val="0"/>
                    <w:pageBreakBefore w:val="0"/>
                    <w:widowControl w:val="0"/>
                    <w:kinsoku/>
                    <w:wordWrap/>
                    <w:overflowPunct/>
                    <w:topLinePunct w:val="0"/>
                    <w:bidi w:val="0"/>
                    <w:snapToGrid/>
                    <w:spacing w:line="240" w:lineRule="auto"/>
                    <w:ind w:left="0" w:leftChars="0" w:firstLine="420" w:firstLineChars="200"/>
                    <w:jc w:val="left"/>
                    <w:textAlignment w:val="auto"/>
                    <w:rPr>
                      <w:rFonts w:hint="eastAsia" w:ascii="Times New Roman" w:hAnsi="Times New Roman" w:eastAsia="宋体"/>
                      <w:caps w:val="0"/>
                      <w:smallCaps w:val="0"/>
                      <w:color w:val="auto"/>
                      <w:w w:val="100"/>
                      <w:sz w:val="21"/>
                      <w:szCs w:val="21"/>
                      <w:highlight w:val="none"/>
                    </w:rPr>
                  </w:pPr>
                  <w:r>
                    <w:rPr>
                      <w:rFonts w:hint="eastAsia" w:ascii="Times New Roman" w:hAnsi="Times New Roman" w:eastAsia="宋体"/>
                      <w:caps w:val="0"/>
                      <w:smallCaps w:val="0"/>
                      <w:color w:val="auto"/>
                      <w:w w:val="100"/>
                      <w:sz w:val="21"/>
                      <w:szCs w:val="21"/>
                      <w:highlight w:val="none"/>
                    </w:rPr>
                    <w:t>危废暂存间参照《危险废物贮存污染控制标准》（GB 18597-2001）及2013年修改单（公告2013年第36号）建设，地面及储存间裙角采</w:t>
                  </w:r>
                  <w:r>
                    <w:rPr>
                      <w:rFonts w:hint="eastAsia"/>
                      <w:caps w:val="0"/>
                      <w:smallCaps w:val="0"/>
                      <w:color w:val="auto"/>
                      <w:w w:val="100"/>
                      <w:sz w:val="21"/>
                      <w:szCs w:val="21"/>
                      <w:highlight w:val="none"/>
                      <w:lang w:eastAsia="zh-CN"/>
                    </w:rPr>
                    <w:t>取</w:t>
                  </w:r>
                  <w:r>
                    <w:rPr>
                      <w:rFonts w:hint="eastAsia" w:ascii="Times New Roman" w:hAnsi="Times New Roman" w:eastAsia="宋体"/>
                      <w:caps w:val="0"/>
                      <w:smallCaps w:val="0"/>
                      <w:color w:val="auto"/>
                      <w:w w:val="100"/>
                      <w:sz w:val="21"/>
                      <w:szCs w:val="21"/>
                      <w:highlight w:val="none"/>
                    </w:rPr>
                    <w:t>防渗处理，</w:t>
                  </w:r>
                  <w:r>
                    <w:rPr>
                      <w:rFonts w:hint="eastAsia" w:ascii="Times New Roman" w:hAnsi="Times New Roman" w:eastAsia="宋体"/>
                      <w:caps w:val="0"/>
                      <w:smallCaps w:val="0"/>
                      <w:color w:val="auto"/>
                      <w:w w:val="100"/>
                      <w:sz w:val="21"/>
                      <w:szCs w:val="21"/>
                      <w:highlight w:val="none"/>
                      <w:lang w:eastAsia="zh-CN"/>
                    </w:rPr>
                    <w:t>渗透系数</w:t>
                  </w:r>
                  <w:r>
                    <w:rPr>
                      <w:rFonts w:hint="eastAsia" w:ascii="Times New Roman" w:hAnsi="Times New Roman" w:eastAsia="宋体"/>
                      <w:caps w:val="0"/>
                      <w:smallCaps w:val="0"/>
                      <w:color w:val="auto"/>
                      <w:w w:val="100"/>
                      <w:sz w:val="21"/>
                      <w:szCs w:val="21"/>
                      <w:highlight w:val="none"/>
                    </w:rPr>
                    <w:t>小于1×10</w:t>
                  </w:r>
                  <w:r>
                    <w:rPr>
                      <w:rFonts w:hint="eastAsia" w:ascii="Times New Roman" w:hAnsi="Times New Roman" w:eastAsia="宋体"/>
                      <w:caps w:val="0"/>
                      <w:smallCaps w:val="0"/>
                      <w:color w:val="auto"/>
                      <w:w w:val="100"/>
                      <w:sz w:val="21"/>
                      <w:szCs w:val="21"/>
                      <w:highlight w:val="none"/>
                      <w:vertAlign w:val="superscript"/>
                    </w:rPr>
                    <w:t>-10</w:t>
                  </w:r>
                  <w:r>
                    <w:rPr>
                      <w:rFonts w:hint="eastAsia" w:ascii="Times New Roman" w:hAnsi="Times New Roman" w:eastAsia="宋体"/>
                      <w:caps w:val="0"/>
                      <w:smallCaps w:val="0"/>
                      <w:color w:val="auto"/>
                      <w:w w:val="100"/>
                      <w:sz w:val="21"/>
                      <w:szCs w:val="21"/>
                      <w:highlight w:val="none"/>
                    </w:rPr>
                    <w:t>cm/s。</w:t>
                  </w:r>
                </w:p>
                <w:p>
                  <w:pPr>
                    <w:pStyle w:val="2"/>
                    <w:keepNext w:val="0"/>
                    <w:keepLines w:val="0"/>
                    <w:pageBreakBefore w:val="0"/>
                    <w:widowControl w:val="0"/>
                    <w:numPr>
                      <w:ilvl w:val="0"/>
                      <w:numId w:val="0"/>
                    </w:numPr>
                    <w:kinsoku/>
                    <w:wordWrap/>
                    <w:overflowPunct/>
                    <w:topLinePunct w:val="0"/>
                    <w:bidi w:val="0"/>
                    <w:snapToGrid/>
                    <w:spacing w:line="240" w:lineRule="auto"/>
                    <w:textAlignment w:val="auto"/>
                    <w:rPr>
                      <w:rFonts w:hint="default" w:ascii="Times New Roman" w:cs="Times New Roman"/>
                      <w:caps w:val="0"/>
                      <w:smallCaps w:val="0"/>
                      <w:color w:val="auto"/>
                      <w:w w:val="100"/>
                      <w:kern w:val="2"/>
                      <w:sz w:val="21"/>
                      <w:szCs w:val="21"/>
                      <w:highlight w:val="none"/>
                      <w:lang w:val="en-US" w:eastAsia="zh-CN"/>
                    </w:rPr>
                  </w:pPr>
                  <w:r>
                    <w:rPr>
                      <w:rFonts w:hint="eastAsia" w:ascii="Times New Roman" w:cs="Times New Roman"/>
                      <w:caps w:val="0"/>
                      <w:smallCaps w:val="0"/>
                      <w:color w:val="auto"/>
                      <w:w w:val="100"/>
                      <w:kern w:val="2"/>
                      <w:sz w:val="21"/>
                      <w:szCs w:val="21"/>
                      <w:highlight w:val="none"/>
                      <w:lang w:val="en-US" w:eastAsia="zh-CN"/>
                    </w:rPr>
                    <w:t>3、丙烷存放区进行防渗，安装可燃气体检测报警装置，丙烷罐周边按照规定设置消防设施。</w:t>
                  </w:r>
                </w:p>
                <w:p>
                  <w:pPr>
                    <w:pStyle w:val="2"/>
                    <w:keepNext w:val="0"/>
                    <w:keepLines w:val="0"/>
                    <w:pageBreakBefore w:val="0"/>
                    <w:widowControl w:val="0"/>
                    <w:numPr>
                      <w:ilvl w:val="0"/>
                      <w:numId w:val="0"/>
                    </w:numPr>
                    <w:kinsoku/>
                    <w:wordWrap/>
                    <w:overflowPunct/>
                    <w:topLinePunct w:val="0"/>
                    <w:bidi w:val="0"/>
                    <w:snapToGrid/>
                    <w:spacing w:line="240" w:lineRule="auto"/>
                    <w:textAlignment w:val="auto"/>
                    <w:rPr>
                      <w:rFonts w:hint="eastAsia" w:ascii="Times New Roman" w:hAnsi="Times New Roman" w:eastAsia="宋体" w:cs="Times New Roman"/>
                      <w:caps w:val="0"/>
                      <w:smallCaps w:val="0"/>
                      <w:color w:val="auto"/>
                      <w:w w:val="100"/>
                      <w:kern w:val="2"/>
                      <w:sz w:val="21"/>
                      <w:highlight w:val="none"/>
                      <w:lang w:eastAsia="zh-CN"/>
                    </w:rPr>
                  </w:pPr>
                  <w:r>
                    <w:rPr>
                      <w:rFonts w:hint="eastAsia" w:ascii="Times New Roman" w:cs="Times New Roman"/>
                      <w:caps w:val="0"/>
                      <w:smallCaps w:val="0"/>
                      <w:color w:val="auto"/>
                      <w:w w:val="100"/>
                      <w:kern w:val="2"/>
                      <w:sz w:val="21"/>
                      <w:szCs w:val="21"/>
                      <w:highlight w:val="none"/>
                      <w:lang w:val="en-US" w:eastAsia="zh-CN"/>
                    </w:rPr>
                    <w:t>4、设置</w:t>
                  </w:r>
                  <w:r>
                    <w:rPr>
                      <w:rFonts w:hint="eastAsia" w:ascii="Times New Roman" w:hAnsi="Times New Roman" w:eastAsia="宋体" w:cs="Times New Roman"/>
                      <w:caps w:val="0"/>
                      <w:smallCaps w:val="0"/>
                      <w:color w:val="auto"/>
                      <w:w w:val="100"/>
                      <w:kern w:val="2"/>
                      <w:sz w:val="21"/>
                      <w:highlight w:val="none"/>
                    </w:rPr>
                    <w:t>干粉或二氧化碳灭火器</w:t>
                  </w:r>
                  <w:r>
                    <w:rPr>
                      <w:rFonts w:hint="eastAsia" w:ascii="Times New Roman" w:hAnsi="Times New Roman" w:eastAsia="宋体" w:cs="Times New Roman"/>
                      <w:caps w:val="0"/>
                      <w:smallCaps w:val="0"/>
                      <w:color w:val="auto"/>
                      <w:w w:val="100"/>
                      <w:kern w:val="2"/>
                      <w:sz w:val="21"/>
                      <w:highlight w:val="none"/>
                      <w:lang w:eastAsia="zh-CN"/>
                    </w:rPr>
                    <w:t>，</w:t>
                  </w:r>
                  <w:r>
                    <w:rPr>
                      <w:rFonts w:hint="eastAsia" w:ascii="Times New Roman" w:hAnsi="Times New Roman" w:eastAsia="宋体" w:cs="Times New Roman"/>
                      <w:caps w:val="0"/>
                      <w:smallCaps w:val="0"/>
                      <w:color w:val="auto"/>
                      <w:w w:val="100"/>
                      <w:kern w:val="2"/>
                      <w:sz w:val="21"/>
                      <w:highlight w:val="none"/>
                    </w:rPr>
                    <w:t>用于扑救火灾</w:t>
                  </w:r>
                  <w:r>
                    <w:rPr>
                      <w:rFonts w:hint="eastAsia" w:ascii="Times New Roman" w:hAnsi="Times New Roman" w:eastAsia="宋体" w:cs="Times New Roman"/>
                      <w:caps w:val="0"/>
                      <w:smallCaps w:val="0"/>
                      <w:color w:val="auto"/>
                      <w:w w:val="100"/>
                      <w:kern w:val="2"/>
                      <w:sz w:val="21"/>
                      <w:highlight w:val="none"/>
                      <w:lang w:eastAsia="zh-CN"/>
                    </w:rPr>
                    <w:t>。</w:t>
                  </w:r>
                </w:p>
                <w:p>
                  <w:pPr>
                    <w:pStyle w:val="7"/>
                    <w:keepNext w:val="0"/>
                    <w:keepLines w:val="0"/>
                    <w:pageBreakBefore w:val="0"/>
                    <w:widowControl w:val="0"/>
                    <w:numPr>
                      <w:ilvl w:val="0"/>
                      <w:numId w:val="0"/>
                    </w:numPr>
                    <w:kinsoku/>
                    <w:wordWrap/>
                    <w:overflowPunct/>
                    <w:topLinePunct w:val="0"/>
                    <w:bidi w:val="0"/>
                    <w:snapToGrid/>
                    <w:spacing w:line="240" w:lineRule="auto"/>
                    <w:ind w:leftChars="0"/>
                    <w:jc w:val="left"/>
                    <w:textAlignment w:val="auto"/>
                    <w:rPr>
                      <w:rFonts w:hint="default" w:ascii="Times New Roman" w:hAnsi="Times New Roman" w:eastAsia="宋体"/>
                      <w:caps w:val="0"/>
                      <w:smallCaps w:val="0"/>
                      <w:color w:val="auto"/>
                      <w:w w:val="100"/>
                      <w:sz w:val="21"/>
                      <w:szCs w:val="21"/>
                      <w:highlight w:val="none"/>
                      <w:vertAlign w:val="baseline"/>
                      <w:lang w:val="en-US" w:eastAsia="zh-CN"/>
                    </w:rPr>
                  </w:pPr>
                  <w:r>
                    <w:rPr>
                      <w:rFonts w:hint="eastAsia" w:cs="Times New Roman"/>
                      <w:caps w:val="0"/>
                      <w:smallCaps w:val="0"/>
                      <w:color w:val="auto"/>
                      <w:w w:val="100"/>
                      <w:kern w:val="2"/>
                      <w:sz w:val="21"/>
                      <w:highlight w:val="none"/>
                      <w:lang w:val="en-US" w:eastAsia="zh-CN"/>
                    </w:rPr>
                    <w:t>5、</w:t>
                  </w:r>
                  <w:r>
                    <w:rPr>
                      <w:rFonts w:hint="eastAsia" w:ascii="Times New Roman" w:hAnsi="Times New Roman" w:eastAsia="宋体" w:cs="Times New Roman"/>
                      <w:caps w:val="0"/>
                      <w:smallCaps w:val="0"/>
                      <w:color w:val="auto"/>
                      <w:w w:val="100"/>
                      <w:kern w:val="2"/>
                      <w:sz w:val="21"/>
                      <w:szCs w:val="24"/>
                      <w:highlight w:val="none"/>
                      <w:lang w:val="en-US" w:eastAsia="zh-CN" w:bidi="ar-SA"/>
                    </w:rPr>
                    <w:t>项目建成后，按要求编制应急预案，并严格落实应急预案防范措施，降低突发事故造成的影响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00" w:type="pct"/>
                  <w:gridSpan w:val="6"/>
                  <w:noWrap w:val="0"/>
                  <w:vAlign w:val="center"/>
                </w:tcPr>
                <w:p>
                  <w:pPr>
                    <w:pStyle w:val="7"/>
                    <w:keepNext w:val="0"/>
                    <w:keepLines w:val="0"/>
                    <w:pageBreakBefore w:val="0"/>
                    <w:widowControl w:val="0"/>
                    <w:kinsoku/>
                    <w:wordWrap/>
                    <w:overflowPunct/>
                    <w:topLinePunct w:val="0"/>
                    <w:bidi w:val="0"/>
                    <w:snapToGrid/>
                    <w:spacing w:line="240" w:lineRule="auto"/>
                    <w:jc w:val="left"/>
                    <w:textAlignment w:val="auto"/>
                    <w:rPr>
                      <w:rFonts w:ascii="Times New Roman" w:hAnsi="Times New Roman" w:eastAsia="宋体"/>
                      <w:caps w:val="0"/>
                      <w:smallCaps w:val="0"/>
                      <w:color w:val="auto"/>
                      <w:w w:val="100"/>
                      <w:sz w:val="21"/>
                      <w:szCs w:val="21"/>
                      <w:highlight w:val="none"/>
                      <w:vertAlign w:val="baseline"/>
                    </w:rPr>
                  </w:pPr>
                  <w:r>
                    <w:rPr>
                      <w:rFonts w:hint="eastAsia" w:ascii="Times New Roman" w:hAnsi="Times New Roman" w:eastAsia="宋体"/>
                      <w:caps w:val="0"/>
                      <w:smallCaps w:val="0"/>
                      <w:color w:val="auto"/>
                      <w:w w:val="100"/>
                      <w:sz w:val="21"/>
                      <w:szCs w:val="21"/>
                      <w:highlight w:val="none"/>
                    </w:rPr>
                    <w:t>填表说明（列出项目相关信息及评价说明）</w:t>
                  </w:r>
                  <w:r>
                    <w:rPr>
                      <w:rFonts w:hint="eastAsia" w:ascii="Times New Roman" w:hAnsi="Times New Roman" w:eastAsia="宋体"/>
                      <w:caps w:val="0"/>
                      <w:smallCaps w:val="0"/>
                      <w:color w:val="auto"/>
                      <w:w w:val="100"/>
                      <w:sz w:val="21"/>
                      <w:szCs w:val="21"/>
                      <w:highlight w:val="none"/>
                      <w:lang w:eastAsia="zh-CN"/>
                    </w:rPr>
                    <w:t>：</w:t>
                  </w:r>
                  <w:r>
                    <w:rPr>
                      <w:rFonts w:hint="eastAsia" w:ascii="Times New Roman" w:hAnsi="Times New Roman" w:eastAsia="宋体"/>
                      <w:caps w:val="0"/>
                      <w:smallCaps w:val="0"/>
                      <w:color w:val="auto"/>
                      <w:w w:val="100"/>
                      <w:sz w:val="21"/>
                      <w:szCs w:val="21"/>
                      <w:highlight w:val="none"/>
                    </w:rPr>
                    <w:t>本项目风险物质为：</w:t>
                  </w:r>
                  <w:r>
                    <w:rPr>
                      <w:rFonts w:hint="eastAsia" w:ascii="Times New Roman" w:hAnsi="Times New Roman" w:eastAsia="宋体" w:cs="Times New Roman"/>
                      <w:caps w:val="0"/>
                      <w:smallCaps w:val="0"/>
                      <w:color w:val="auto"/>
                      <w:w w:val="100"/>
                      <w:kern w:val="2"/>
                      <w:sz w:val="21"/>
                      <w:szCs w:val="21"/>
                      <w:highlight w:val="none"/>
                      <w:lang w:val="en-US" w:eastAsia="zh-CN"/>
                    </w:rPr>
                    <w:t>润滑油、液压油、切削液</w:t>
                  </w:r>
                  <w:r>
                    <w:rPr>
                      <w:rFonts w:hint="eastAsia" w:cs="Times New Roman"/>
                      <w:caps w:val="0"/>
                      <w:smallCaps w:val="0"/>
                      <w:color w:val="auto"/>
                      <w:w w:val="100"/>
                      <w:kern w:val="2"/>
                      <w:sz w:val="21"/>
                      <w:szCs w:val="21"/>
                      <w:highlight w:val="none"/>
                      <w:lang w:val="en-US" w:eastAsia="zh-CN"/>
                    </w:rPr>
                    <w:t>、</w:t>
                  </w:r>
                  <w:r>
                    <w:rPr>
                      <w:rFonts w:hint="eastAsia" w:ascii="Times New Roman" w:cs="Times New Roman"/>
                      <w:caps w:val="0"/>
                      <w:smallCaps w:val="0"/>
                      <w:color w:val="auto"/>
                      <w:w w:val="100"/>
                      <w:kern w:val="2"/>
                      <w:sz w:val="21"/>
                      <w:highlight w:val="none"/>
                      <w:lang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润滑油、</w:t>
                  </w:r>
                  <w:r>
                    <w:rPr>
                      <w:rFonts w:hint="eastAsia" w:ascii="Times New Roman"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液压油、</w:t>
                  </w:r>
                  <w:r>
                    <w:rPr>
                      <w:rFonts w:hint="eastAsia" w:ascii="Times New Roman"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切削液</w:t>
                  </w:r>
                  <w:r>
                    <w:rPr>
                      <w:rFonts w:hint="eastAsia" w:cs="Times New Roman"/>
                      <w:caps w:val="0"/>
                      <w:smallCaps w:val="0"/>
                      <w:color w:val="auto"/>
                      <w:w w:val="100"/>
                      <w:kern w:val="2"/>
                      <w:sz w:val="21"/>
                      <w:szCs w:val="21"/>
                      <w:highlight w:val="none"/>
                      <w:lang w:val="en-US" w:eastAsia="zh-CN"/>
                    </w:rPr>
                    <w:t>、丙烷</w:t>
                  </w:r>
                  <w:r>
                    <w:rPr>
                      <w:rFonts w:hint="eastAsia" w:ascii="Times New Roman" w:hAnsi="Times New Roman" w:eastAsia="宋体"/>
                      <w:caps w:val="0"/>
                      <w:smallCaps w:val="0"/>
                      <w:color w:val="auto"/>
                      <w:w w:val="100"/>
                      <w:sz w:val="21"/>
                      <w:szCs w:val="21"/>
                      <w:highlight w:val="none"/>
                    </w:rPr>
                    <w:t>，计算Q值为</w:t>
                  </w:r>
                  <w:r>
                    <w:rPr>
                      <w:rFonts w:hint="eastAsia"/>
                      <w:caps w:val="0"/>
                      <w:smallCaps w:val="0"/>
                      <w:color w:val="auto"/>
                      <w:w w:val="100"/>
                      <w:sz w:val="21"/>
                      <w:szCs w:val="21"/>
                      <w:highlight w:val="none"/>
                      <w:lang w:val="en-US" w:eastAsia="zh-CN"/>
                    </w:rPr>
                    <w:t>0.03564</w:t>
                  </w:r>
                  <w:r>
                    <w:rPr>
                      <w:rFonts w:hint="eastAsia" w:ascii="Times New Roman" w:hAnsi="Times New Roman" w:eastAsia="宋体"/>
                      <w:caps w:val="0"/>
                      <w:smallCaps w:val="0"/>
                      <w:color w:val="auto"/>
                      <w:w w:val="100"/>
                      <w:sz w:val="21"/>
                      <w:szCs w:val="21"/>
                      <w:highlight w:val="none"/>
                    </w:rPr>
                    <w:t>，因此，本项目环境风险潜势为为</w:t>
                  </w:r>
                  <w:r>
                    <w:rPr>
                      <w:rFonts w:hint="eastAsia" w:ascii="Times New Roman" w:hAnsi="Times New Roman" w:eastAsia="宋体"/>
                      <w:caps w:val="0"/>
                      <w:smallCaps w:val="0"/>
                      <w:color w:val="auto"/>
                      <w:w w:val="100"/>
                      <w:sz w:val="21"/>
                      <w:szCs w:val="21"/>
                      <w:highlight w:val="none"/>
                    </w:rPr>
                    <w:fldChar w:fldCharType="begin"/>
                  </w:r>
                  <w:r>
                    <w:rPr>
                      <w:rFonts w:hint="eastAsia" w:ascii="Times New Roman" w:hAnsi="Times New Roman" w:eastAsia="宋体"/>
                      <w:caps w:val="0"/>
                      <w:smallCaps w:val="0"/>
                      <w:color w:val="auto"/>
                      <w:w w:val="100"/>
                      <w:sz w:val="21"/>
                      <w:szCs w:val="21"/>
                      <w:highlight w:val="none"/>
                    </w:rPr>
                    <w:instrText xml:space="preserve"> = 1 \* ROMAN \* MERGEFORMAT </w:instrText>
                  </w:r>
                  <w:r>
                    <w:rPr>
                      <w:rFonts w:hint="eastAsia" w:ascii="Times New Roman" w:hAnsi="Times New Roman" w:eastAsia="宋体"/>
                      <w:caps w:val="0"/>
                      <w:smallCaps w:val="0"/>
                      <w:color w:val="auto"/>
                      <w:w w:val="100"/>
                      <w:sz w:val="21"/>
                      <w:szCs w:val="21"/>
                      <w:highlight w:val="none"/>
                    </w:rPr>
                    <w:fldChar w:fldCharType="separate"/>
                  </w:r>
                  <w:r>
                    <w:rPr>
                      <w:rFonts w:hint="eastAsia" w:ascii="Times New Roman" w:hAnsi="Times New Roman" w:eastAsia="宋体"/>
                      <w:caps w:val="0"/>
                      <w:smallCaps w:val="0"/>
                      <w:color w:val="auto"/>
                      <w:w w:val="100"/>
                      <w:sz w:val="21"/>
                      <w:szCs w:val="21"/>
                      <w:highlight w:val="none"/>
                    </w:rPr>
                    <w:t>I</w:t>
                  </w:r>
                  <w:r>
                    <w:rPr>
                      <w:rFonts w:hint="eastAsia" w:ascii="Times New Roman" w:hAnsi="Times New Roman" w:eastAsia="宋体"/>
                      <w:caps w:val="0"/>
                      <w:smallCaps w:val="0"/>
                      <w:color w:val="auto"/>
                      <w:w w:val="100"/>
                      <w:sz w:val="21"/>
                      <w:szCs w:val="21"/>
                      <w:highlight w:val="none"/>
                    </w:rPr>
                    <w:fldChar w:fldCharType="end"/>
                  </w:r>
                  <w:r>
                    <w:rPr>
                      <w:rFonts w:hint="eastAsia" w:ascii="Times New Roman" w:hAnsi="Times New Roman" w:eastAsia="宋体"/>
                      <w:caps w:val="0"/>
                      <w:smallCaps w:val="0"/>
                      <w:color w:val="auto"/>
                      <w:w w:val="100"/>
                      <w:sz w:val="21"/>
                      <w:szCs w:val="21"/>
                      <w:highlight w:val="none"/>
                    </w:rPr>
                    <w:t>，根据等级判定，本项目风险仅做简单分析。</w:t>
                  </w: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aps w:val="0"/>
                <w:smallCaps w:val="0"/>
                <w:color w:val="auto"/>
                <w:w w:val="100"/>
                <w:sz w:val="24"/>
                <w:szCs w:val="24"/>
                <w:highlight w:val="none"/>
                <w:lang w:eastAsia="zh-CN"/>
              </w:rPr>
            </w:pPr>
          </w:p>
          <w:p>
            <w:pPr>
              <w:spacing w:line="500" w:lineRule="exact"/>
              <w:ind w:firstLine="480" w:firstLineChars="200"/>
              <w:jc w:val="center"/>
              <w:rPr>
                <w:rFonts w:hint="eastAsia" w:ascii="Times New Roman" w:hAnsi="Times New Roman" w:eastAsia="黑体"/>
                <w:caps w:val="0"/>
                <w:smallCaps w:val="0"/>
                <w:color w:val="auto"/>
                <w:w w:val="100"/>
                <w:sz w:val="24"/>
                <w:szCs w:val="24"/>
                <w:highlight w:val="none"/>
                <w:lang w:eastAsia="zh-CN"/>
              </w:rPr>
            </w:pPr>
          </w:p>
          <w:p>
            <w:pPr>
              <w:spacing w:line="500" w:lineRule="exact"/>
              <w:ind w:firstLine="480" w:firstLineChars="200"/>
              <w:jc w:val="center"/>
              <w:rPr>
                <w:rFonts w:hint="eastAsia" w:ascii="Times New Roman" w:hAnsi="Times New Roman" w:eastAsia="黑体"/>
                <w:caps w:val="0"/>
                <w:smallCaps w:val="0"/>
                <w:color w:val="auto"/>
                <w:w w:val="100"/>
                <w:sz w:val="24"/>
                <w:szCs w:val="24"/>
                <w:highlight w:val="none"/>
                <w:lang w:eastAsia="zh-CN"/>
              </w:rPr>
            </w:pPr>
          </w:p>
          <w:p>
            <w:pPr>
              <w:spacing w:line="500" w:lineRule="exact"/>
              <w:ind w:firstLine="480" w:firstLineChars="200"/>
              <w:jc w:val="center"/>
              <w:rPr>
                <w:rFonts w:hint="eastAsia" w:ascii="Times New Roman" w:hAnsi="Times New Roman" w:eastAsia="黑体"/>
                <w:caps w:val="0"/>
                <w:smallCaps w:val="0"/>
                <w:color w:val="auto"/>
                <w:w w:val="100"/>
                <w:sz w:val="24"/>
                <w:szCs w:val="24"/>
                <w:highlight w:val="none"/>
                <w:lang w:val="en-US" w:eastAsia="zh-CN"/>
              </w:rPr>
            </w:pPr>
            <w:r>
              <w:rPr>
                <w:rFonts w:hint="eastAsia" w:ascii="Times New Roman" w:hAnsi="Times New Roman" w:eastAsia="黑体"/>
                <w:caps w:val="0"/>
                <w:smallCaps w:val="0"/>
                <w:color w:val="auto"/>
                <w:w w:val="100"/>
                <w:sz w:val="24"/>
                <w:szCs w:val="24"/>
                <w:highlight w:val="none"/>
                <w:lang w:eastAsia="zh-CN"/>
              </w:rPr>
              <w:t>表</w:t>
            </w:r>
            <w:r>
              <w:rPr>
                <w:rFonts w:hint="eastAsia" w:ascii="Times New Roman" w:hAnsi="Times New Roman" w:eastAsia="黑体"/>
                <w:caps w:val="0"/>
                <w:smallCaps w:val="0"/>
                <w:color w:val="auto"/>
                <w:w w:val="100"/>
                <w:sz w:val="24"/>
                <w:szCs w:val="24"/>
                <w:highlight w:val="none"/>
                <w:lang w:val="en-US" w:eastAsia="zh-CN"/>
              </w:rPr>
              <w:t>4</w:t>
            </w:r>
            <w:r>
              <w:rPr>
                <w:rFonts w:hint="eastAsia" w:eastAsia="黑体"/>
                <w:caps w:val="0"/>
                <w:smallCaps w:val="0"/>
                <w:color w:val="auto"/>
                <w:w w:val="100"/>
                <w:sz w:val="24"/>
                <w:szCs w:val="24"/>
                <w:highlight w:val="none"/>
                <w:lang w:val="en-US" w:eastAsia="zh-CN"/>
              </w:rPr>
              <w:t>3</w:t>
            </w:r>
            <w:r>
              <w:rPr>
                <w:rFonts w:hint="eastAsia" w:ascii="Times New Roman" w:hAnsi="Times New Roman" w:eastAsia="黑体"/>
                <w:caps w:val="0"/>
                <w:smallCaps w:val="0"/>
                <w:color w:val="auto"/>
                <w:w w:val="100"/>
                <w:sz w:val="24"/>
                <w:szCs w:val="24"/>
                <w:highlight w:val="none"/>
                <w:lang w:val="en-US" w:eastAsia="zh-CN"/>
              </w:rPr>
              <w:t xml:space="preserve">  </w:t>
            </w:r>
            <w:r>
              <w:rPr>
                <w:rFonts w:hint="eastAsia" w:eastAsia="黑体"/>
                <w:caps w:val="0"/>
                <w:smallCaps w:val="0"/>
                <w:color w:val="auto"/>
                <w:w w:val="100"/>
                <w:sz w:val="24"/>
                <w:szCs w:val="24"/>
                <w:highlight w:val="none"/>
                <w:lang w:val="en-US" w:eastAsia="zh-CN"/>
              </w:rPr>
              <w:t>环境风险评价自查</w:t>
            </w:r>
            <w:r>
              <w:rPr>
                <w:rFonts w:hint="eastAsia" w:ascii="Times New Roman" w:hAnsi="Times New Roman" w:eastAsia="黑体"/>
                <w:caps w:val="0"/>
                <w:smallCaps w:val="0"/>
                <w:color w:val="auto"/>
                <w:w w:val="100"/>
                <w:sz w:val="24"/>
                <w:szCs w:val="24"/>
                <w:highlight w:val="none"/>
                <w:lang w:val="en-US" w:eastAsia="zh-CN"/>
              </w:rPr>
              <w:t>表</w:t>
            </w:r>
          </w:p>
          <w:tbl>
            <w:tblPr>
              <w:tblStyle w:val="31"/>
              <w:tblpPr w:leftFromText="180" w:rightFromText="180" w:vertAnchor="text" w:horzAnchor="page" w:tblpX="110" w:tblpY="293"/>
              <w:tblOverlap w:val="never"/>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5"/>
              <w:gridCol w:w="517"/>
              <w:gridCol w:w="1421"/>
              <w:gridCol w:w="990"/>
              <w:gridCol w:w="335"/>
              <w:gridCol w:w="943"/>
              <w:gridCol w:w="1418"/>
              <w:gridCol w:w="1695"/>
              <w:gridCol w:w="120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325" w:type="dxa"/>
                  <w:gridSpan w:val="3"/>
                  <w:tcBorders>
                    <w:top w:val="single" w:color="auto" w:sz="12"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工作内容</w:t>
                  </w:r>
                </w:p>
              </w:tc>
              <w:tc>
                <w:tcPr>
                  <w:tcW w:w="5945" w:type="dxa"/>
                  <w:gridSpan w:val="6"/>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完成情况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dxa"/>
                  <w:vMerge w:val="restart"/>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风险调查</w:t>
                  </w:r>
                </w:p>
              </w:tc>
              <w:tc>
                <w:tcPr>
                  <w:tcW w:w="175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危险物质</w:t>
                  </w:r>
                </w:p>
              </w:tc>
              <w:tc>
                <w:tcPr>
                  <w:tcW w:w="119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名称</w:t>
                  </w:r>
                </w:p>
              </w:tc>
              <w:tc>
                <w:tcPr>
                  <w:tcW w:w="4748" w:type="dxa"/>
                  <w:gridSpan w:val="4"/>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aps w:val="0"/>
                      <w:smallCaps w:val="0"/>
                      <w:color w:val="auto"/>
                      <w:w w:val="100"/>
                      <w:sz w:val="21"/>
                      <w:szCs w:val="21"/>
                      <w:highlight w:val="none"/>
                      <w:lang w:val="en-US" w:eastAsia="zh-CN"/>
                    </w:rPr>
                  </w:pPr>
                  <w:r>
                    <w:rPr>
                      <w:rFonts w:hint="eastAsia" w:ascii="Times New Roman" w:hAnsi="Times New Roman" w:eastAsia="宋体" w:cs="Times New Roman"/>
                      <w:caps w:val="0"/>
                      <w:smallCaps w:val="0"/>
                      <w:color w:val="auto"/>
                      <w:w w:val="100"/>
                      <w:kern w:val="2"/>
                      <w:sz w:val="21"/>
                      <w:szCs w:val="21"/>
                      <w:highlight w:val="none"/>
                      <w:lang w:val="en-US" w:eastAsia="zh-CN"/>
                    </w:rPr>
                    <w:t>润滑油、液压油、切削液</w:t>
                  </w:r>
                  <w:r>
                    <w:rPr>
                      <w:rFonts w:hint="eastAsia" w:cs="Times New Roman"/>
                      <w:caps w:val="0"/>
                      <w:smallCaps w:val="0"/>
                      <w:color w:val="auto"/>
                      <w:w w:val="100"/>
                      <w:kern w:val="2"/>
                      <w:sz w:val="21"/>
                      <w:szCs w:val="21"/>
                      <w:highlight w:val="none"/>
                      <w:lang w:val="en-US" w:eastAsia="zh-CN"/>
                    </w:rPr>
                    <w:t>、</w:t>
                  </w:r>
                  <w:r>
                    <w:rPr>
                      <w:rFonts w:hint="eastAsia" w:ascii="Times New Roman" w:cs="Times New Roman"/>
                      <w:caps w:val="0"/>
                      <w:smallCaps w:val="0"/>
                      <w:color w:val="auto"/>
                      <w:w w:val="100"/>
                      <w:kern w:val="2"/>
                      <w:sz w:val="21"/>
                      <w:highlight w:val="none"/>
                      <w:lang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润滑油、</w:t>
                  </w:r>
                  <w:r>
                    <w:rPr>
                      <w:rFonts w:hint="eastAsia" w:ascii="Times New Roman"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液压油、</w:t>
                  </w:r>
                  <w:r>
                    <w:rPr>
                      <w:rFonts w:hint="eastAsia" w:ascii="Times New Roman" w:cs="Times New Roman"/>
                      <w:caps w:val="0"/>
                      <w:smallCaps w:val="0"/>
                      <w:color w:val="auto"/>
                      <w:w w:val="100"/>
                      <w:kern w:val="2"/>
                      <w:sz w:val="21"/>
                      <w:szCs w:val="21"/>
                      <w:highlight w:val="none"/>
                      <w:lang w:val="en-US" w:eastAsia="zh-CN"/>
                    </w:rPr>
                    <w:t>废</w:t>
                  </w:r>
                  <w:r>
                    <w:rPr>
                      <w:rFonts w:hint="eastAsia" w:ascii="Times New Roman" w:hAnsi="Times New Roman" w:eastAsia="宋体" w:cs="Times New Roman"/>
                      <w:caps w:val="0"/>
                      <w:smallCaps w:val="0"/>
                      <w:color w:val="auto"/>
                      <w:w w:val="100"/>
                      <w:kern w:val="2"/>
                      <w:sz w:val="21"/>
                      <w:szCs w:val="21"/>
                      <w:highlight w:val="none"/>
                      <w:lang w:val="en-US" w:eastAsia="zh-CN"/>
                    </w:rPr>
                    <w:t>切削液</w:t>
                  </w:r>
                  <w:r>
                    <w:rPr>
                      <w:rFonts w:hint="eastAsia" w:cs="Times New Roman"/>
                      <w:caps w:val="0"/>
                      <w:smallCaps w:val="0"/>
                      <w:color w:val="auto"/>
                      <w:w w:val="100"/>
                      <w:kern w:val="2"/>
                      <w:sz w:val="21"/>
                      <w:szCs w:val="21"/>
                      <w:highlight w:val="none"/>
                      <w:lang w:val="en-US" w:eastAsia="zh-CN"/>
                    </w:rPr>
                    <w:t>、丙烷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dxa"/>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75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19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存在总量</w:t>
                  </w:r>
                  <w:r>
                    <w:rPr>
                      <w:rFonts w:ascii="Times New Roman" w:hAnsi="Times New Roman"/>
                      <w:caps w:val="0"/>
                      <w:smallCaps w:val="0"/>
                      <w:color w:val="auto"/>
                      <w:w w:val="100"/>
                      <w:sz w:val="21"/>
                      <w:szCs w:val="21"/>
                      <w:highlight w:val="none"/>
                    </w:rPr>
                    <w:t>/t</w:t>
                  </w:r>
                </w:p>
              </w:tc>
              <w:tc>
                <w:tcPr>
                  <w:tcW w:w="4748" w:type="dxa"/>
                  <w:gridSpan w:val="4"/>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aps w:val="0"/>
                      <w:smallCaps w:val="0"/>
                      <w:color w:val="auto"/>
                      <w:w w:val="100"/>
                      <w:sz w:val="21"/>
                      <w:szCs w:val="21"/>
                      <w:highlight w:val="none"/>
                      <w:lang w:val="en-US" w:eastAsia="zh-CN"/>
                    </w:rPr>
                  </w:pPr>
                  <w:r>
                    <w:rPr>
                      <w:rFonts w:hint="eastAsia"/>
                      <w:caps w:val="0"/>
                      <w:smallCaps w:val="0"/>
                      <w:color w:val="auto"/>
                      <w:w w:val="100"/>
                      <w:sz w:val="21"/>
                      <w:szCs w:val="21"/>
                      <w:highlight w:val="none"/>
                      <w:lang w:val="en-US" w:eastAsia="zh-CN"/>
                    </w:rPr>
                    <w:t>6.7368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dxa"/>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75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环境敏感性</w:t>
                  </w:r>
                </w:p>
              </w:tc>
              <w:tc>
                <w:tcPr>
                  <w:tcW w:w="8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大气</w:t>
                  </w:r>
                </w:p>
              </w:tc>
              <w:tc>
                <w:tcPr>
                  <w:tcW w:w="243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500m</w:t>
                  </w:r>
                  <w:r>
                    <w:rPr>
                      <w:rFonts w:hint="eastAsia" w:ascii="Times New Roman" w:hAnsi="Times New Roman"/>
                      <w:caps w:val="0"/>
                      <w:smallCaps w:val="0"/>
                      <w:color w:val="auto"/>
                      <w:w w:val="100"/>
                      <w:sz w:val="21"/>
                      <w:szCs w:val="21"/>
                      <w:highlight w:val="none"/>
                    </w:rPr>
                    <w:t>范围内人口数</w:t>
                  </w:r>
                  <w:r>
                    <w:rPr>
                      <w:rFonts w:ascii="Times New Roman" w:hAnsi="Times New Roman"/>
                      <w:caps w:val="0"/>
                      <w:smallCaps w:val="0"/>
                      <w:color w:val="auto"/>
                      <w:w w:val="100"/>
                      <w:sz w:val="21"/>
                      <w:szCs w:val="21"/>
                      <w:highlight w:val="none"/>
                      <w:u w:val="single"/>
                    </w:rPr>
                    <w:t xml:space="preserve">  </w:t>
                  </w:r>
                  <w:r>
                    <w:rPr>
                      <w:rFonts w:hint="eastAsia" w:ascii="Times New Roman" w:hAnsi="Times New Roman"/>
                      <w:caps w:val="0"/>
                      <w:smallCaps w:val="0"/>
                      <w:color w:val="auto"/>
                      <w:w w:val="100"/>
                      <w:sz w:val="21"/>
                      <w:szCs w:val="21"/>
                      <w:highlight w:val="none"/>
                    </w:rPr>
                    <w:t>人</w:t>
                  </w:r>
                </w:p>
              </w:tc>
              <w:tc>
                <w:tcPr>
                  <w:tcW w:w="2615" w:type="dxa"/>
                  <w:gridSpan w:val="2"/>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5km</w:t>
                  </w:r>
                  <w:r>
                    <w:rPr>
                      <w:rFonts w:hint="eastAsia" w:ascii="Times New Roman" w:hAnsi="Times New Roman"/>
                      <w:caps w:val="0"/>
                      <w:smallCaps w:val="0"/>
                      <w:color w:val="auto"/>
                      <w:w w:val="100"/>
                      <w:sz w:val="21"/>
                      <w:szCs w:val="21"/>
                      <w:highlight w:val="none"/>
                    </w:rPr>
                    <w:t>范围内人口数</w:t>
                  </w:r>
                  <w:r>
                    <w:rPr>
                      <w:rFonts w:ascii="Times New Roman" w:hAnsi="Times New Roman"/>
                      <w:caps w:val="0"/>
                      <w:smallCaps w:val="0"/>
                      <w:color w:val="auto"/>
                      <w:w w:val="100"/>
                      <w:sz w:val="21"/>
                      <w:szCs w:val="21"/>
                      <w:highlight w:val="none"/>
                      <w:u w:val="single"/>
                    </w:rPr>
                    <w:t xml:space="preserve">  </w:t>
                  </w:r>
                  <w:r>
                    <w:rPr>
                      <w:rFonts w:hint="eastAsia" w:ascii="Times New Roman" w:hAnsi="Times New Roman"/>
                      <w:caps w:val="0"/>
                      <w:smallCaps w:val="0"/>
                      <w:color w:val="auto"/>
                      <w:w w:val="100"/>
                      <w:sz w:val="21"/>
                      <w:szCs w:val="21"/>
                      <w:highlight w:val="none"/>
                    </w:rPr>
                    <w:t>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dxa"/>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75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8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243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每公里管段周边</w:t>
                  </w:r>
                  <w:r>
                    <w:rPr>
                      <w:rFonts w:ascii="Times New Roman" w:hAnsi="Times New Roman"/>
                      <w:caps w:val="0"/>
                      <w:smallCaps w:val="0"/>
                      <w:color w:val="auto"/>
                      <w:w w:val="100"/>
                      <w:sz w:val="21"/>
                      <w:szCs w:val="21"/>
                      <w:highlight w:val="none"/>
                    </w:rPr>
                    <w:t>200m</w:t>
                  </w:r>
                  <w:r>
                    <w:rPr>
                      <w:rFonts w:hint="eastAsia" w:ascii="Times New Roman" w:hAnsi="Times New Roman"/>
                      <w:caps w:val="0"/>
                      <w:smallCaps w:val="0"/>
                      <w:color w:val="auto"/>
                      <w:w w:val="100"/>
                      <w:sz w:val="21"/>
                      <w:szCs w:val="21"/>
                      <w:highlight w:val="none"/>
                    </w:rPr>
                    <w:t>范围内人口数（最大）</w:t>
                  </w:r>
                </w:p>
              </w:tc>
              <w:tc>
                <w:tcPr>
                  <w:tcW w:w="2615" w:type="dxa"/>
                  <w:gridSpan w:val="2"/>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574" w:type="dxa"/>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75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8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地表水</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地表水功能敏感性</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F1</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u w:val="single"/>
                    </w:rPr>
                  </w:pPr>
                  <w:r>
                    <w:rPr>
                      <w:rFonts w:ascii="Times New Roman" w:hAnsi="Times New Roman"/>
                      <w:caps w:val="0"/>
                      <w:smallCaps w:val="0"/>
                      <w:color w:val="auto"/>
                      <w:w w:val="100"/>
                      <w:sz w:val="21"/>
                      <w:szCs w:val="21"/>
                      <w:highlight w:val="none"/>
                    </w:rPr>
                    <w:t>F2</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u w:val="single"/>
                    </w:rPr>
                  </w:pPr>
                  <w:r>
                    <w:rPr>
                      <w:rFonts w:ascii="Times New Roman" w:hAnsi="Times New Roman"/>
                      <w:caps w:val="0"/>
                      <w:smallCaps w:val="0"/>
                      <w:color w:val="auto"/>
                      <w:w w:val="100"/>
                      <w:sz w:val="21"/>
                      <w:szCs w:val="21"/>
                      <w:highlight w:val="none"/>
                    </w:rPr>
                    <w:t>F3</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dxa"/>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75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8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环境敏感目标分级</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S1</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u w:val="single"/>
                    </w:rPr>
                  </w:pPr>
                  <w:r>
                    <w:rPr>
                      <w:rFonts w:ascii="Times New Roman" w:hAnsi="Times New Roman"/>
                      <w:caps w:val="0"/>
                      <w:smallCaps w:val="0"/>
                      <w:color w:val="auto"/>
                      <w:w w:val="100"/>
                      <w:sz w:val="21"/>
                      <w:szCs w:val="21"/>
                      <w:highlight w:val="none"/>
                    </w:rPr>
                    <w:t>S2</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u w:val="single"/>
                    </w:rPr>
                  </w:pPr>
                  <w:r>
                    <w:rPr>
                      <w:rFonts w:ascii="Times New Roman" w:hAnsi="Times New Roman"/>
                      <w:caps w:val="0"/>
                      <w:smallCaps w:val="0"/>
                      <w:color w:val="auto"/>
                      <w:w w:val="100"/>
                      <w:sz w:val="21"/>
                      <w:szCs w:val="21"/>
                      <w:highlight w:val="none"/>
                    </w:rPr>
                    <w:t>S3</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dxa"/>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75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8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地下水</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地下水功能敏感性</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G1</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G2</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G3</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dxa"/>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75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8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包气带防污性能</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D1</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D2</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D3</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vMerge w:val="restart"/>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物质及工艺系统危险性</w:t>
                  </w:r>
                </w:p>
              </w:tc>
              <w:tc>
                <w:tcPr>
                  <w:tcW w:w="8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Q</w:t>
                  </w:r>
                  <w:r>
                    <w:rPr>
                      <w:rFonts w:hint="eastAsia" w:ascii="Times New Roman" w:hAnsi="Times New Roman"/>
                      <w:caps w:val="0"/>
                      <w:smallCaps w:val="0"/>
                      <w:color w:val="auto"/>
                      <w:w w:val="100"/>
                      <w:sz w:val="21"/>
                      <w:szCs w:val="21"/>
                      <w:highlight w:val="none"/>
                    </w:rPr>
                    <w:t>值</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ascii="Times New Roman" w:hAnsi="Times New Roman"/>
                      <w:caps w:val="0"/>
                      <w:smallCaps w:val="0"/>
                      <w:color w:val="auto"/>
                      <w:w w:val="100"/>
                      <w:sz w:val="21"/>
                      <w:szCs w:val="21"/>
                      <w:highlight w:val="none"/>
                    </w:rPr>
                    <w:t>Q</w:t>
                  </w:r>
                  <w:r>
                    <w:rPr>
                      <w:rFonts w:hint="eastAsia" w:ascii="Times New Roman" w:hAnsi="Times New Roman"/>
                      <w:caps w:val="0"/>
                      <w:smallCaps w:val="0"/>
                      <w:color w:val="auto"/>
                      <w:w w:val="100"/>
                      <w:sz w:val="21"/>
                      <w:szCs w:val="21"/>
                      <w:highlight w:val="none"/>
                    </w:rPr>
                    <w:t>＜</w:t>
                  </w:r>
                  <w:r>
                    <w:rPr>
                      <w:rFonts w:ascii="Times New Roman" w:hAnsi="Times New Roman"/>
                      <w:caps w:val="0"/>
                      <w:smallCaps w:val="0"/>
                      <w:color w:val="auto"/>
                      <w:w w:val="100"/>
                      <w:sz w:val="21"/>
                      <w:szCs w:val="21"/>
                      <w:highlight w:val="none"/>
                    </w:rPr>
                    <w:t>1</w:t>
                  </w:r>
                  <w:r>
                    <w:rPr>
                      <w:rFonts w:hint="eastAsia" w:ascii="Times New Roman" w:hAnsi="Times New Roman" w:cs="Times New Roman"/>
                      <w:color w:val="auto"/>
                      <w:w w:val="100"/>
                      <w:sz w:val="18"/>
                      <w:szCs w:val="18"/>
                      <w:highlight w:val="none"/>
                      <w:shd w:val="clear" w:color="auto" w:fill="auto"/>
                      <w:lang w:eastAsia="zh-CN"/>
                    </w:rPr>
                    <w:t>☑</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1≤Q</w:t>
                  </w:r>
                  <w:r>
                    <w:rPr>
                      <w:rFonts w:hint="eastAsia" w:ascii="Times New Roman" w:hAnsi="Times New Roman"/>
                      <w:caps w:val="0"/>
                      <w:smallCaps w:val="0"/>
                      <w:color w:val="auto"/>
                      <w:w w:val="100"/>
                      <w:sz w:val="21"/>
                      <w:szCs w:val="21"/>
                      <w:highlight w:val="none"/>
                    </w:rPr>
                    <w:t>＜</w:t>
                  </w:r>
                  <w:r>
                    <w:rPr>
                      <w:rFonts w:ascii="Times New Roman" w:hAnsi="Times New Roman"/>
                      <w:caps w:val="0"/>
                      <w:smallCaps w:val="0"/>
                      <w:color w:val="auto"/>
                      <w:w w:val="100"/>
                      <w:sz w:val="21"/>
                      <w:szCs w:val="21"/>
                      <w:highlight w:val="none"/>
                    </w:rPr>
                    <w:t>10</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10≤Q</w:t>
                  </w:r>
                  <w:r>
                    <w:rPr>
                      <w:rFonts w:hint="eastAsia" w:ascii="Times New Roman" w:hAnsi="Times New Roman"/>
                      <w:caps w:val="0"/>
                      <w:smallCaps w:val="0"/>
                      <w:color w:val="auto"/>
                      <w:w w:val="100"/>
                      <w:sz w:val="21"/>
                      <w:szCs w:val="21"/>
                      <w:highlight w:val="none"/>
                    </w:rPr>
                    <w:t>＜</w:t>
                  </w:r>
                  <w:r>
                    <w:rPr>
                      <w:rFonts w:ascii="Times New Roman" w:hAnsi="Times New Roman"/>
                      <w:caps w:val="0"/>
                      <w:smallCaps w:val="0"/>
                      <w:color w:val="auto"/>
                      <w:w w:val="100"/>
                      <w:sz w:val="21"/>
                      <w:szCs w:val="21"/>
                      <w:highlight w:val="none"/>
                    </w:rPr>
                    <w:t>100</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Q</w:t>
                  </w:r>
                  <w:r>
                    <w:rPr>
                      <w:rFonts w:hint="eastAsia" w:ascii="Times New Roman" w:hAnsi="Times New Roman"/>
                      <w:caps w:val="0"/>
                      <w:smallCaps w:val="0"/>
                      <w:color w:val="auto"/>
                      <w:w w:val="100"/>
                      <w:sz w:val="21"/>
                      <w:szCs w:val="21"/>
                      <w:highlight w:val="none"/>
                    </w:rPr>
                    <w:t>＞</w:t>
                  </w:r>
                  <w:r>
                    <w:rPr>
                      <w:rFonts w:ascii="Times New Roman" w:hAnsi="Times New Roman"/>
                      <w:caps w:val="0"/>
                      <w:smallCaps w:val="0"/>
                      <w:color w:val="auto"/>
                      <w:w w:val="100"/>
                      <w:sz w:val="21"/>
                      <w:szCs w:val="21"/>
                      <w:highlight w:val="none"/>
                    </w:rPr>
                    <w:t>100</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8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M</w:t>
                  </w:r>
                  <w:r>
                    <w:rPr>
                      <w:rFonts w:hint="eastAsia" w:ascii="Times New Roman" w:hAnsi="Times New Roman"/>
                      <w:caps w:val="0"/>
                      <w:smallCaps w:val="0"/>
                      <w:color w:val="auto"/>
                      <w:w w:val="100"/>
                      <w:sz w:val="21"/>
                      <w:szCs w:val="21"/>
                      <w:highlight w:val="none"/>
                    </w:rPr>
                    <w:t>值</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M1</w:t>
                  </w:r>
                  <w:r>
                    <w:rPr>
                      <w:rFonts w:hint="default" w:ascii="Times New Roman" w:hAnsi="Times New Roman" w:cs="Times New Roman"/>
                      <w:color w:val="auto"/>
                      <w:w w:val="100"/>
                      <w:sz w:val="18"/>
                      <w:szCs w:val="18"/>
                      <w:highlight w:val="none"/>
                      <w:shd w:val="clear" w:color="auto" w:fill="auto"/>
                    </w:rPr>
                    <w:t>□</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M2</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M3</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M4</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8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P</w:t>
                  </w:r>
                  <w:r>
                    <w:rPr>
                      <w:rFonts w:hint="eastAsia" w:ascii="Times New Roman" w:hAnsi="Times New Roman"/>
                      <w:caps w:val="0"/>
                      <w:smallCaps w:val="0"/>
                      <w:color w:val="auto"/>
                      <w:w w:val="100"/>
                      <w:sz w:val="21"/>
                      <w:szCs w:val="21"/>
                      <w:highlight w:val="none"/>
                    </w:rPr>
                    <w:t>值</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P1</w:t>
                  </w:r>
                  <w:r>
                    <w:rPr>
                      <w:rFonts w:hint="default" w:ascii="Times New Roman" w:hAnsi="Times New Roman" w:cs="Times New Roman"/>
                      <w:color w:val="auto"/>
                      <w:w w:val="100"/>
                      <w:sz w:val="18"/>
                      <w:szCs w:val="18"/>
                      <w:highlight w:val="none"/>
                      <w:shd w:val="clear" w:color="auto" w:fill="auto"/>
                    </w:rPr>
                    <w:t>□</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P2</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P3</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P4</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vMerge w:val="restart"/>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环境敏感程度</w:t>
                  </w:r>
                </w:p>
              </w:tc>
              <w:tc>
                <w:tcPr>
                  <w:tcW w:w="8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大气</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E1</w:t>
                  </w:r>
                  <w:r>
                    <w:rPr>
                      <w:rFonts w:hint="default" w:ascii="Times New Roman" w:hAnsi="Times New Roman" w:cs="Times New Roman"/>
                      <w:color w:val="auto"/>
                      <w:w w:val="100"/>
                      <w:sz w:val="18"/>
                      <w:szCs w:val="18"/>
                      <w:highlight w:val="none"/>
                      <w:shd w:val="clear" w:color="auto" w:fill="auto"/>
                    </w:rPr>
                    <w:t>□</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E2</w:t>
                  </w:r>
                  <w:r>
                    <w:rPr>
                      <w:rFonts w:hint="default" w:ascii="Times New Roman" w:hAnsi="Times New Roman" w:cs="Times New Roman"/>
                      <w:color w:val="auto"/>
                      <w:w w:val="100"/>
                      <w:sz w:val="18"/>
                      <w:szCs w:val="18"/>
                      <w:highlight w:val="none"/>
                      <w:shd w:val="clear" w:color="auto" w:fill="auto"/>
                    </w:rPr>
                    <w:t>□</w:t>
                  </w:r>
                </w:p>
              </w:tc>
              <w:tc>
                <w:tcPr>
                  <w:tcW w:w="2615" w:type="dxa"/>
                  <w:gridSpan w:val="2"/>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E3</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8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地表水</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E1</w:t>
                  </w:r>
                  <w:r>
                    <w:rPr>
                      <w:rFonts w:hint="default" w:ascii="Times New Roman" w:hAnsi="Times New Roman" w:cs="Times New Roman"/>
                      <w:color w:val="auto"/>
                      <w:w w:val="100"/>
                      <w:sz w:val="18"/>
                      <w:szCs w:val="18"/>
                      <w:highlight w:val="none"/>
                      <w:shd w:val="clear" w:color="auto" w:fill="auto"/>
                    </w:rPr>
                    <w:t>□</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E2</w:t>
                  </w:r>
                  <w:r>
                    <w:rPr>
                      <w:rFonts w:hint="default" w:ascii="Times New Roman" w:hAnsi="Times New Roman" w:cs="Times New Roman"/>
                      <w:color w:val="auto"/>
                      <w:w w:val="100"/>
                      <w:sz w:val="18"/>
                      <w:szCs w:val="18"/>
                      <w:highlight w:val="none"/>
                      <w:shd w:val="clear" w:color="auto" w:fill="auto"/>
                    </w:rPr>
                    <w:t>□</w:t>
                  </w:r>
                </w:p>
              </w:tc>
              <w:tc>
                <w:tcPr>
                  <w:tcW w:w="2615" w:type="dxa"/>
                  <w:gridSpan w:val="2"/>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E3</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8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地下水</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E1</w:t>
                  </w:r>
                  <w:r>
                    <w:rPr>
                      <w:rFonts w:hint="default" w:ascii="Times New Roman" w:hAnsi="Times New Roman" w:cs="Times New Roman"/>
                      <w:color w:val="auto"/>
                      <w:w w:val="100"/>
                      <w:sz w:val="18"/>
                      <w:szCs w:val="18"/>
                      <w:highlight w:val="none"/>
                      <w:shd w:val="clear" w:color="auto" w:fill="auto"/>
                    </w:rPr>
                    <w:t>□</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E2</w:t>
                  </w:r>
                  <w:r>
                    <w:rPr>
                      <w:rFonts w:hint="default" w:ascii="Times New Roman" w:hAnsi="Times New Roman" w:cs="Times New Roman"/>
                      <w:color w:val="auto"/>
                      <w:w w:val="100"/>
                      <w:sz w:val="18"/>
                      <w:szCs w:val="18"/>
                      <w:highlight w:val="none"/>
                      <w:shd w:val="clear" w:color="auto" w:fill="auto"/>
                    </w:rPr>
                    <w:t>□</w:t>
                  </w:r>
                </w:p>
              </w:tc>
              <w:tc>
                <w:tcPr>
                  <w:tcW w:w="2615" w:type="dxa"/>
                  <w:gridSpan w:val="2"/>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E3</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环境风险潜势</w:t>
                  </w:r>
                </w:p>
              </w:tc>
              <w:tc>
                <w:tcPr>
                  <w:tcW w:w="8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s="宋体"/>
                      <w:caps w:val="0"/>
                      <w:smallCaps w:val="0"/>
                      <w:color w:val="auto"/>
                      <w:w w:val="100"/>
                      <w:sz w:val="21"/>
                      <w:szCs w:val="21"/>
                      <w:highlight w:val="none"/>
                    </w:rPr>
                    <w:t>Ⅳ</w:t>
                  </w:r>
                  <w:r>
                    <w:rPr>
                      <w:rFonts w:ascii="Times New Roman" w:hAnsi="Times New Roman"/>
                      <w:caps w:val="0"/>
                      <w:smallCaps w:val="0"/>
                      <w:color w:val="auto"/>
                      <w:w w:val="100"/>
                      <w:sz w:val="21"/>
                      <w:szCs w:val="21"/>
                      <w:highlight w:val="none"/>
                      <w:vertAlign w:val="superscript"/>
                    </w:rPr>
                    <w:t>+</w:t>
                  </w:r>
                  <w:r>
                    <w:rPr>
                      <w:rFonts w:hint="default" w:ascii="Times New Roman" w:hAnsi="Times New Roman" w:cs="Times New Roman"/>
                      <w:color w:val="auto"/>
                      <w:w w:val="100"/>
                      <w:sz w:val="18"/>
                      <w:szCs w:val="18"/>
                      <w:highlight w:val="none"/>
                      <w:shd w:val="clear" w:color="auto" w:fill="auto"/>
                    </w:rPr>
                    <w:t>□</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s="宋体"/>
                      <w:caps w:val="0"/>
                      <w:smallCaps w:val="0"/>
                      <w:color w:val="auto"/>
                      <w:w w:val="100"/>
                      <w:sz w:val="21"/>
                      <w:szCs w:val="21"/>
                      <w:highlight w:val="none"/>
                    </w:rPr>
                    <w:t>Ⅳ</w:t>
                  </w:r>
                  <w:r>
                    <w:rPr>
                      <w:rFonts w:hint="default" w:ascii="Times New Roman" w:hAnsi="Times New Roman" w:cs="Times New Roman"/>
                      <w:color w:val="auto"/>
                      <w:w w:val="100"/>
                      <w:sz w:val="18"/>
                      <w:szCs w:val="18"/>
                      <w:highlight w:val="none"/>
                      <w:shd w:val="clear" w:color="auto" w:fill="auto"/>
                    </w:rPr>
                    <w:t>□</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s="宋体"/>
                      <w:caps w:val="0"/>
                      <w:smallCaps w:val="0"/>
                      <w:color w:val="auto"/>
                      <w:w w:val="100"/>
                      <w:sz w:val="21"/>
                      <w:szCs w:val="21"/>
                      <w:highlight w:val="none"/>
                    </w:rPr>
                    <w:t>Ⅲ</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s="宋体"/>
                      <w:caps w:val="0"/>
                      <w:smallCaps w:val="0"/>
                      <w:color w:val="auto"/>
                      <w:w w:val="100"/>
                      <w:sz w:val="21"/>
                      <w:szCs w:val="21"/>
                      <w:highlight w:val="none"/>
                    </w:rPr>
                    <w:t>Ⅱ</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hint="eastAsia" w:ascii="Times New Roman" w:hAnsi="Times New Roman" w:cs="宋体"/>
                      <w:caps w:val="0"/>
                      <w:smallCaps w:val="0"/>
                      <w:color w:val="auto"/>
                      <w:w w:val="100"/>
                      <w:sz w:val="21"/>
                      <w:szCs w:val="21"/>
                      <w:highlight w:val="none"/>
                    </w:rPr>
                    <w:t>Ⅰ</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评价等级</w:t>
                  </w:r>
                </w:p>
              </w:tc>
              <w:tc>
                <w:tcPr>
                  <w:tcW w:w="204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一级</w:t>
                  </w:r>
                  <w:r>
                    <w:rPr>
                      <w:rFonts w:hint="default" w:ascii="Times New Roman" w:hAnsi="Times New Roman" w:cs="Times New Roman"/>
                      <w:color w:val="auto"/>
                      <w:w w:val="100"/>
                      <w:sz w:val="18"/>
                      <w:szCs w:val="18"/>
                      <w:highlight w:val="none"/>
                      <w:shd w:val="clear" w:color="auto" w:fill="auto"/>
                    </w:rPr>
                    <w:t>□</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二级</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三级</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hint="eastAsia" w:ascii="Times New Roman" w:hAnsi="Times New Roman"/>
                      <w:caps w:val="0"/>
                      <w:smallCaps w:val="0"/>
                      <w:color w:val="auto"/>
                      <w:w w:val="100"/>
                      <w:sz w:val="21"/>
                      <w:szCs w:val="21"/>
                      <w:highlight w:val="none"/>
                    </w:rPr>
                    <w:t>简单分析</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41" w:type="dxa"/>
                  <w:gridSpan w:val="2"/>
                  <w:vMerge w:val="restart"/>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风险识别</w:t>
                  </w:r>
                </w:p>
              </w:tc>
              <w:tc>
                <w:tcPr>
                  <w:tcW w:w="12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物质危险性</w:t>
                  </w:r>
                </w:p>
              </w:tc>
              <w:tc>
                <w:tcPr>
                  <w:tcW w:w="3330"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hint="eastAsia" w:ascii="Times New Roman" w:hAnsi="Times New Roman"/>
                      <w:caps w:val="0"/>
                      <w:smallCaps w:val="0"/>
                      <w:color w:val="auto"/>
                      <w:w w:val="100"/>
                      <w:sz w:val="21"/>
                      <w:szCs w:val="21"/>
                      <w:highlight w:val="none"/>
                    </w:rPr>
                    <w:t>有毒有害</w:t>
                  </w:r>
                  <w:r>
                    <w:rPr>
                      <w:rFonts w:hint="eastAsia" w:cs="Times New Roman"/>
                      <w:color w:val="auto"/>
                      <w:w w:val="100"/>
                      <w:sz w:val="18"/>
                      <w:szCs w:val="18"/>
                      <w:highlight w:val="none"/>
                      <w:shd w:val="clear" w:color="auto" w:fill="auto"/>
                      <w:lang w:eastAsia="zh-CN"/>
                    </w:rPr>
                    <w:t>☑</w:t>
                  </w:r>
                </w:p>
              </w:tc>
              <w:tc>
                <w:tcPr>
                  <w:tcW w:w="2615" w:type="dxa"/>
                  <w:gridSpan w:val="2"/>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hint="eastAsia" w:ascii="Times New Roman" w:hAnsi="Times New Roman"/>
                      <w:caps w:val="0"/>
                      <w:smallCaps w:val="0"/>
                      <w:color w:val="auto"/>
                      <w:w w:val="100"/>
                      <w:sz w:val="21"/>
                      <w:szCs w:val="21"/>
                      <w:highlight w:val="none"/>
                    </w:rPr>
                    <w:t>易燃易爆</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41" w:type="dxa"/>
                  <w:gridSpan w:val="2"/>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环境风险类型</w:t>
                  </w:r>
                </w:p>
              </w:tc>
              <w:tc>
                <w:tcPr>
                  <w:tcW w:w="3330"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hint="eastAsia" w:ascii="Times New Roman" w:hAnsi="Times New Roman"/>
                      <w:caps w:val="0"/>
                      <w:smallCaps w:val="0"/>
                      <w:color w:val="auto"/>
                      <w:w w:val="100"/>
                      <w:sz w:val="21"/>
                      <w:szCs w:val="21"/>
                      <w:highlight w:val="none"/>
                    </w:rPr>
                    <w:t>泄漏</w:t>
                  </w:r>
                  <w:r>
                    <w:rPr>
                      <w:rFonts w:hint="eastAsia" w:ascii="Times New Roman" w:hAnsi="Times New Roman" w:cs="Times New Roman"/>
                      <w:color w:val="auto"/>
                      <w:w w:val="100"/>
                      <w:sz w:val="18"/>
                      <w:szCs w:val="18"/>
                      <w:highlight w:val="none"/>
                      <w:shd w:val="clear" w:color="auto" w:fill="auto"/>
                      <w:lang w:eastAsia="zh-CN"/>
                    </w:rPr>
                    <w:t>☑</w:t>
                  </w:r>
                </w:p>
              </w:tc>
              <w:tc>
                <w:tcPr>
                  <w:tcW w:w="2615" w:type="dxa"/>
                  <w:gridSpan w:val="2"/>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hint="eastAsia" w:ascii="Times New Roman" w:hAnsi="Times New Roman"/>
                      <w:caps w:val="0"/>
                      <w:smallCaps w:val="0"/>
                      <w:color w:val="auto"/>
                      <w:w w:val="100"/>
                      <w:sz w:val="21"/>
                      <w:szCs w:val="21"/>
                      <w:highlight w:val="none"/>
                    </w:rPr>
                    <w:t>火灾、爆炸引发伴生</w:t>
                  </w:r>
                  <w:r>
                    <w:rPr>
                      <w:rFonts w:ascii="Times New Roman" w:hAnsi="Times New Roman"/>
                      <w:caps w:val="0"/>
                      <w:smallCaps w:val="0"/>
                      <w:color w:val="auto"/>
                      <w:w w:val="100"/>
                      <w:sz w:val="21"/>
                      <w:szCs w:val="21"/>
                      <w:highlight w:val="none"/>
                    </w:rPr>
                    <w:t>/</w:t>
                  </w:r>
                  <w:r>
                    <w:rPr>
                      <w:rFonts w:hint="eastAsia" w:ascii="Times New Roman" w:hAnsi="Times New Roman"/>
                      <w:caps w:val="0"/>
                      <w:smallCaps w:val="0"/>
                      <w:color w:val="auto"/>
                      <w:w w:val="100"/>
                      <w:sz w:val="21"/>
                      <w:szCs w:val="21"/>
                      <w:highlight w:val="none"/>
                    </w:rPr>
                    <w:t>次生污染物排放</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41" w:type="dxa"/>
                  <w:gridSpan w:val="2"/>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影响途径</w:t>
                  </w:r>
                </w:p>
              </w:tc>
              <w:tc>
                <w:tcPr>
                  <w:tcW w:w="204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hint="eastAsia" w:ascii="Times New Roman" w:hAnsi="Times New Roman"/>
                      <w:caps w:val="0"/>
                      <w:smallCaps w:val="0"/>
                      <w:color w:val="auto"/>
                      <w:w w:val="100"/>
                      <w:sz w:val="21"/>
                      <w:szCs w:val="21"/>
                      <w:highlight w:val="none"/>
                    </w:rPr>
                    <w:t>大气</w:t>
                  </w:r>
                  <w:r>
                    <w:rPr>
                      <w:rFonts w:hint="eastAsia" w:ascii="Times New Roman" w:hAnsi="Times New Roman" w:cs="Times New Roman"/>
                      <w:color w:val="auto"/>
                      <w:w w:val="100"/>
                      <w:sz w:val="18"/>
                      <w:szCs w:val="18"/>
                      <w:highlight w:val="none"/>
                      <w:shd w:val="clear" w:color="auto" w:fill="auto"/>
                      <w:lang w:eastAsia="zh-CN"/>
                    </w:rPr>
                    <w:t>☑</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地表水</w:t>
                  </w:r>
                  <w:r>
                    <w:rPr>
                      <w:rFonts w:hint="default" w:ascii="Times New Roman" w:hAnsi="Times New Roman" w:cs="Times New Roman"/>
                      <w:color w:val="auto"/>
                      <w:w w:val="100"/>
                      <w:sz w:val="18"/>
                      <w:szCs w:val="18"/>
                      <w:highlight w:val="none"/>
                      <w:shd w:val="clear" w:color="auto" w:fill="auto"/>
                    </w:rPr>
                    <w:t>□</w:t>
                  </w:r>
                </w:p>
              </w:tc>
              <w:tc>
                <w:tcPr>
                  <w:tcW w:w="2615" w:type="dxa"/>
                  <w:gridSpan w:val="2"/>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hint="eastAsia" w:ascii="Times New Roman" w:hAnsi="Times New Roman"/>
                      <w:caps w:val="0"/>
                      <w:smallCaps w:val="0"/>
                      <w:color w:val="auto"/>
                      <w:w w:val="100"/>
                      <w:sz w:val="21"/>
                      <w:szCs w:val="21"/>
                      <w:highlight w:val="none"/>
                    </w:rPr>
                    <w:t>地下水</w:t>
                  </w:r>
                  <w:r>
                    <w:rPr>
                      <w:rFonts w:hint="eastAsia" w:ascii="Times New Roman" w:hAnsi="Times New Roman" w:cs="Times New Roman"/>
                      <w:color w:val="auto"/>
                      <w:w w:val="100"/>
                      <w:sz w:val="18"/>
                      <w:szCs w:val="18"/>
                      <w:highlight w:val="none"/>
                      <w:shd w:val="clear" w:color="auto" w:fil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事故情形分析</w:t>
                  </w:r>
                </w:p>
              </w:tc>
              <w:tc>
                <w:tcPr>
                  <w:tcW w:w="204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源强设定方法</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计算法</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经验估算法</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其它估算法</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41" w:type="dxa"/>
                  <w:gridSpan w:val="2"/>
                  <w:vMerge w:val="restart"/>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风险预测与评价</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大气</w:t>
                  </w:r>
                </w:p>
              </w:tc>
              <w:tc>
                <w:tcPr>
                  <w:tcW w:w="204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预测模型</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SLAB</w:t>
                  </w:r>
                  <w:r>
                    <w:rPr>
                      <w:rFonts w:hint="default" w:ascii="Times New Roman" w:hAnsi="Times New Roman" w:cs="Times New Roman"/>
                      <w:color w:val="auto"/>
                      <w:w w:val="100"/>
                      <w:sz w:val="18"/>
                      <w:szCs w:val="18"/>
                      <w:highlight w:val="none"/>
                      <w:shd w:val="clear" w:color="auto" w:fill="auto"/>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ascii="Times New Roman" w:hAnsi="Times New Roman"/>
                      <w:caps w:val="0"/>
                      <w:smallCaps w:val="0"/>
                      <w:color w:val="auto"/>
                      <w:w w:val="100"/>
                      <w:sz w:val="21"/>
                      <w:szCs w:val="21"/>
                      <w:highlight w:val="none"/>
                    </w:rPr>
                    <w:t>AFTOX</w:t>
                  </w:r>
                  <w:r>
                    <w:rPr>
                      <w:rFonts w:hint="default" w:ascii="Times New Roman" w:hAnsi="Times New Roman" w:cs="Times New Roman"/>
                      <w:color w:val="auto"/>
                      <w:w w:val="100"/>
                      <w:sz w:val="18"/>
                      <w:szCs w:val="18"/>
                      <w:highlight w:val="none"/>
                      <w:shd w:val="clear" w:color="auto" w:fill="auto"/>
                    </w:rPr>
                    <w:t>□</w:t>
                  </w:r>
                </w:p>
              </w:tc>
              <w:tc>
                <w:tcPr>
                  <w:tcW w:w="1084"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其他</w:t>
                  </w:r>
                  <w:r>
                    <w:rPr>
                      <w:rFonts w:hint="default" w:ascii="Times New Roman" w:hAnsi="Times New Roman" w:cs="Times New Roman"/>
                      <w:color w:val="auto"/>
                      <w:w w:val="100"/>
                      <w:sz w:val="18"/>
                      <w:szCs w:val="18"/>
                      <w:highlight w:val="none"/>
                      <w:shd w:val="clear" w:color="auto" w:fil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41" w:type="dxa"/>
                  <w:gridSpan w:val="2"/>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2049"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预测结果</w:t>
                  </w:r>
                </w:p>
              </w:tc>
              <w:tc>
                <w:tcPr>
                  <w:tcW w:w="3896" w:type="dxa"/>
                  <w:gridSpan w:val="3"/>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大气毒性终点浓度</w:t>
                  </w:r>
                  <w:r>
                    <w:rPr>
                      <w:rFonts w:ascii="Times New Roman" w:hAnsi="Times New Roman"/>
                      <w:caps w:val="0"/>
                      <w:smallCaps w:val="0"/>
                      <w:color w:val="auto"/>
                      <w:w w:val="100"/>
                      <w:sz w:val="21"/>
                      <w:szCs w:val="21"/>
                      <w:highlight w:val="none"/>
                    </w:rPr>
                    <w:t>-1</w:t>
                  </w:r>
                  <w:r>
                    <w:rPr>
                      <w:rFonts w:hint="eastAsia" w:ascii="Times New Roman" w:hAnsi="Times New Roman"/>
                      <w:caps w:val="0"/>
                      <w:smallCaps w:val="0"/>
                      <w:color w:val="auto"/>
                      <w:w w:val="100"/>
                      <w:sz w:val="21"/>
                      <w:szCs w:val="21"/>
                      <w:highlight w:val="none"/>
                    </w:rPr>
                    <w:t>最大影响范围</w:t>
                  </w:r>
                  <w:r>
                    <w:rPr>
                      <w:rFonts w:hint="eastAsia" w:ascii="Times New Roman" w:hAnsi="Times New Roman"/>
                      <w:caps w:val="0"/>
                      <w:smallCaps w:val="0"/>
                      <w:color w:val="auto"/>
                      <w:w w:val="100"/>
                      <w:sz w:val="21"/>
                      <w:szCs w:val="21"/>
                      <w:highlight w:val="none"/>
                      <w:u w:val="single"/>
                    </w:rPr>
                    <w:t xml:space="preserve">  </w:t>
                  </w:r>
                  <w:r>
                    <w:rPr>
                      <w:rFonts w:ascii="Times New Roman" w:hAnsi="Times New Roman"/>
                      <w:caps w:val="0"/>
                      <w:smallCaps w:val="0"/>
                      <w:color w:val="auto"/>
                      <w:w w:val="100"/>
                      <w:sz w:val="21"/>
                      <w:szCs w:val="21"/>
                      <w:highlight w:val="none"/>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41" w:type="dxa"/>
                  <w:gridSpan w:val="2"/>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2049"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3896" w:type="dxa"/>
                  <w:gridSpan w:val="3"/>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大气毒性终点浓度</w:t>
                  </w:r>
                  <w:r>
                    <w:rPr>
                      <w:rFonts w:ascii="Times New Roman" w:hAnsi="Times New Roman"/>
                      <w:caps w:val="0"/>
                      <w:smallCaps w:val="0"/>
                      <w:color w:val="auto"/>
                      <w:w w:val="100"/>
                      <w:sz w:val="21"/>
                      <w:szCs w:val="21"/>
                      <w:highlight w:val="none"/>
                    </w:rPr>
                    <w:t>-2</w:t>
                  </w:r>
                  <w:r>
                    <w:rPr>
                      <w:rFonts w:hint="eastAsia" w:ascii="Times New Roman" w:hAnsi="Times New Roman"/>
                      <w:caps w:val="0"/>
                      <w:smallCaps w:val="0"/>
                      <w:color w:val="auto"/>
                      <w:w w:val="100"/>
                      <w:sz w:val="21"/>
                      <w:szCs w:val="21"/>
                      <w:highlight w:val="none"/>
                    </w:rPr>
                    <w:t>最大影响范围</w:t>
                  </w:r>
                  <w:r>
                    <w:rPr>
                      <w:rFonts w:hint="eastAsia" w:ascii="Times New Roman" w:hAnsi="Times New Roman"/>
                      <w:caps w:val="0"/>
                      <w:smallCaps w:val="0"/>
                      <w:color w:val="auto"/>
                      <w:w w:val="100"/>
                      <w:sz w:val="21"/>
                      <w:szCs w:val="21"/>
                      <w:highlight w:val="none"/>
                      <w:u w:val="single"/>
                    </w:rPr>
                    <w:t xml:space="preserve"> </w:t>
                  </w:r>
                  <w:r>
                    <w:rPr>
                      <w:rFonts w:ascii="Times New Roman" w:hAnsi="Times New Roman"/>
                      <w:caps w:val="0"/>
                      <w:smallCaps w:val="0"/>
                      <w:color w:val="auto"/>
                      <w:w w:val="100"/>
                      <w:sz w:val="21"/>
                      <w:szCs w:val="21"/>
                      <w:highlight w:val="none"/>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41" w:type="dxa"/>
                  <w:gridSpan w:val="2"/>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地表水</w:t>
                  </w:r>
                </w:p>
              </w:tc>
              <w:tc>
                <w:tcPr>
                  <w:tcW w:w="5945" w:type="dxa"/>
                  <w:gridSpan w:val="6"/>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最近环境敏感目标，到达时间</w:t>
                  </w:r>
                  <w:r>
                    <w:rPr>
                      <w:rFonts w:hint="eastAsia" w:ascii="Times New Roman" w:hAnsi="Times New Roman"/>
                      <w:caps w:val="0"/>
                      <w:smallCaps w:val="0"/>
                      <w:color w:val="auto"/>
                      <w:w w:val="100"/>
                      <w:sz w:val="21"/>
                      <w:szCs w:val="21"/>
                      <w:highlight w:val="none"/>
                      <w:u w:val="single"/>
                    </w:rPr>
                    <w:t xml:space="preserve">  </w:t>
                  </w:r>
                  <w:r>
                    <w:rPr>
                      <w:rFonts w:ascii="Times New Roman" w:hAnsi="Times New Roman"/>
                      <w:caps w:val="0"/>
                      <w:smallCaps w:val="0"/>
                      <w:color w:val="auto"/>
                      <w:w w:val="100"/>
                      <w:sz w:val="21"/>
                      <w:szCs w:val="21"/>
                      <w:highlight w:val="none"/>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41" w:type="dxa"/>
                  <w:gridSpan w:val="2"/>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地下水</w:t>
                  </w:r>
                </w:p>
              </w:tc>
              <w:tc>
                <w:tcPr>
                  <w:tcW w:w="5945" w:type="dxa"/>
                  <w:gridSpan w:val="6"/>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下游厂区边界到达时间</w:t>
                  </w:r>
                  <w:r>
                    <w:rPr>
                      <w:rFonts w:hint="eastAsia" w:ascii="Times New Roman" w:hAnsi="Times New Roman"/>
                      <w:caps w:val="0"/>
                      <w:smallCaps w:val="0"/>
                      <w:color w:val="auto"/>
                      <w:w w:val="100"/>
                      <w:sz w:val="21"/>
                      <w:szCs w:val="21"/>
                      <w:highlight w:val="none"/>
                      <w:u w:val="single"/>
                    </w:rPr>
                    <w:t xml:space="preserve">  </w:t>
                  </w:r>
                  <w:r>
                    <w:rPr>
                      <w:rFonts w:ascii="Times New Roman" w:hAnsi="Times New Roman"/>
                      <w:caps w:val="0"/>
                      <w:smallCaps w:val="0"/>
                      <w:color w:val="auto"/>
                      <w:w w:val="100"/>
                      <w:sz w:val="21"/>
                      <w:szCs w:val="21"/>
                      <w:highlight w:val="none"/>
                    </w:rPr>
                    <w:t>d</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41" w:type="dxa"/>
                  <w:gridSpan w:val="2"/>
                  <w:vMerge w:val="continue"/>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p>
              </w:tc>
              <w:tc>
                <w:tcPr>
                  <w:tcW w:w="5945" w:type="dxa"/>
                  <w:gridSpan w:val="6"/>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最近环境敏感目标，到达时间</w:t>
                  </w:r>
                  <w:r>
                    <w:rPr>
                      <w:rFonts w:hint="eastAsia" w:ascii="Times New Roman" w:hAnsi="Times New Roman"/>
                      <w:caps w:val="0"/>
                      <w:smallCaps w:val="0"/>
                      <w:color w:val="auto"/>
                      <w:w w:val="100"/>
                      <w:sz w:val="21"/>
                      <w:szCs w:val="21"/>
                      <w:highlight w:val="none"/>
                      <w:u w:val="single"/>
                    </w:rPr>
                    <w:t xml:space="preserve">  </w:t>
                  </w:r>
                  <w:r>
                    <w:rPr>
                      <w:rFonts w:ascii="Times New Roman" w:hAnsi="Times New Roman"/>
                      <w:caps w:val="0"/>
                      <w:smallCaps w:val="0"/>
                      <w:color w:val="auto"/>
                      <w:w w:val="100"/>
                      <w:sz w:val="21"/>
                      <w:szCs w:val="21"/>
                      <w:highlight w:val="none"/>
                    </w:rPr>
                    <w:t>d</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重点风险防范措施</w:t>
                  </w:r>
                </w:p>
              </w:tc>
              <w:tc>
                <w:tcPr>
                  <w:tcW w:w="5945" w:type="dxa"/>
                  <w:gridSpan w:val="6"/>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smallCaps w:val="0"/>
                      <w:color w:val="auto"/>
                      <w:w w:val="100"/>
                      <w:sz w:val="21"/>
                      <w:szCs w:val="21"/>
                      <w:highlight w:val="none"/>
                      <w:lang w:eastAsia="zh-CN"/>
                    </w:rPr>
                  </w:pPr>
                  <w:r>
                    <w:rPr>
                      <w:rFonts w:hint="eastAsia" w:ascii="Times New Roman" w:hAnsi="Times New Roman"/>
                      <w:caps w:val="0"/>
                      <w:smallCaps w:val="0"/>
                      <w:color w:val="auto"/>
                      <w:w w:val="100"/>
                      <w:sz w:val="21"/>
                      <w:szCs w:val="21"/>
                      <w:highlight w:val="none"/>
                      <w:lang w:eastAsia="zh-CN"/>
                    </w:rPr>
                    <w:t>做防渗，并设置托盘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dxa"/>
                  <w:gridSpan w:val="3"/>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评价结论与建议</w:t>
                  </w:r>
                </w:p>
              </w:tc>
              <w:tc>
                <w:tcPr>
                  <w:tcW w:w="5945" w:type="dxa"/>
                  <w:gridSpan w:val="6"/>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本项目环境风险可防控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0" w:type="dxa"/>
                  <w:gridSpan w:val="9"/>
                  <w:tcBorders>
                    <w:top w:val="single" w:color="auto" w:sz="4" w:space="0"/>
                    <w:left w:val="single" w:color="auto" w:sz="12" w:space="0"/>
                    <w:bottom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aps w:val="0"/>
                      <w:smallCaps w:val="0"/>
                      <w:color w:val="auto"/>
                      <w:w w:val="100"/>
                      <w:sz w:val="21"/>
                      <w:szCs w:val="21"/>
                      <w:highlight w:val="none"/>
                    </w:rPr>
                  </w:pPr>
                  <w:r>
                    <w:rPr>
                      <w:rFonts w:hint="eastAsia" w:ascii="Times New Roman" w:hAnsi="Times New Roman"/>
                      <w:caps w:val="0"/>
                      <w:smallCaps w:val="0"/>
                      <w:color w:val="auto"/>
                      <w:w w:val="100"/>
                      <w:sz w:val="21"/>
                      <w:szCs w:val="21"/>
                      <w:highlight w:val="none"/>
                    </w:rPr>
                    <w:t>注：</w:t>
                  </w:r>
                  <w:r>
                    <w:rPr>
                      <w:rFonts w:ascii="Times New Roman" w:hAnsi="Times New Roman"/>
                      <w:caps w:val="0"/>
                      <w:smallCaps w:val="0"/>
                      <w:color w:val="auto"/>
                      <w:w w:val="100"/>
                      <w:sz w:val="21"/>
                      <w:szCs w:val="21"/>
                      <w:highlight w:val="none"/>
                    </w:rPr>
                    <w:t>“□”</w:t>
                  </w:r>
                  <w:r>
                    <w:rPr>
                      <w:rFonts w:hint="eastAsia" w:ascii="Times New Roman" w:hAnsi="Times New Roman"/>
                      <w:caps w:val="0"/>
                      <w:smallCaps w:val="0"/>
                      <w:color w:val="auto"/>
                      <w:w w:val="100"/>
                      <w:sz w:val="21"/>
                      <w:szCs w:val="21"/>
                      <w:highlight w:val="none"/>
                    </w:rPr>
                    <w:t>为勾选项，填</w:t>
                  </w:r>
                  <w:r>
                    <w:rPr>
                      <w:rFonts w:ascii="Times New Roman" w:hAnsi="Times New Roman"/>
                      <w:caps w:val="0"/>
                      <w:smallCaps w:val="0"/>
                      <w:color w:val="auto"/>
                      <w:w w:val="100"/>
                      <w:sz w:val="21"/>
                      <w:szCs w:val="21"/>
                      <w:highlight w:val="none"/>
                    </w:rPr>
                    <w:t>“√”</w:t>
                  </w:r>
                  <w:r>
                    <w:rPr>
                      <w:rFonts w:hint="eastAsia" w:ascii="Times New Roman" w:hAnsi="Times New Roman"/>
                      <w:caps w:val="0"/>
                      <w:smallCaps w:val="0"/>
                      <w:color w:val="auto"/>
                      <w:w w:val="100"/>
                      <w:sz w:val="21"/>
                      <w:szCs w:val="21"/>
                      <w:highlight w:val="none"/>
                    </w:rPr>
                    <w:t>；</w:t>
                  </w:r>
                  <w:r>
                    <w:rPr>
                      <w:rFonts w:ascii="Times New Roman" w:hAnsi="Times New Roman"/>
                      <w:caps w:val="0"/>
                      <w:smallCaps w:val="0"/>
                      <w:color w:val="auto"/>
                      <w:w w:val="100"/>
                      <w:sz w:val="21"/>
                      <w:szCs w:val="21"/>
                      <w:highlight w:val="none"/>
                    </w:rPr>
                    <w:t>“</w:t>
                  </w:r>
                  <w:r>
                    <w:rPr>
                      <w:rFonts w:ascii="Times New Roman" w:hAnsi="Times New Roman"/>
                      <w:caps w:val="0"/>
                      <w:smallCaps w:val="0"/>
                      <w:color w:val="auto"/>
                      <w:w w:val="100"/>
                      <w:sz w:val="21"/>
                      <w:szCs w:val="21"/>
                      <w:highlight w:val="none"/>
                      <w:u w:val="single"/>
                    </w:rPr>
                    <w:t xml:space="preserve">     ”</w:t>
                  </w:r>
                  <w:r>
                    <w:rPr>
                      <w:rFonts w:hint="eastAsia" w:ascii="Times New Roman" w:hAnsi="Times New Roman"/>
                      <w:caps w:val="0"/>
                      <w:smallCaps w:val="0"/>
                      <w:color w:val="auto"/>
                      <w:w w:val="100"/>
                      <w:sz w:val="21"/>
                      <w:szCs w:val="21"/>
                      <w:highlight w:val="none"/>
                    </w:rPr>
                    <w:t>为内容填写项</w:t>
                  </w:r>
                </w:p>
              </w:tc>
            </w:tr>
          </w:tbl>
          <w:p>
            <w:pPr>
              <w:spacing w:line="500" w:lineRule="exact"/>
              <w:ind w:firstLine="480"/>
              <w:jc w:val="left"/>
              <w:rPr>
                <w:b/>
                <w:color w:val="auto"/>
                <w:sz w:val="24"/>
                <w:highlight w:val="none"/>
              </w:rPr>
            </w:pPr>
            <w:r>
              <w:rPr>
                <w:rFonts w:hint="eastAsia"/>
                <w:b/>
                <w:bCs/>
                <w:color w:val="auto"/>
                <w:sz w:val="24"/>
                <w:szCs w:val="22"/>
                <w:highlight w:val="none"/>
              </w:rPr>
              <w:t>（</w:t>
            </w:r>
            <w:r>
              <w:rPr>
                <w:rFonts w:hint="eastAsia"/>
                <w:b/>
                <w:bCs/>
                <w:color w:val="auto"/>
                <w:sz w:val="24"/>
                <w:szCs w:val="22"/>
                <w:highlight w:val="none"/>
                <w:lang w:val="en-US" w:eastAsia="zh-CN"/>
              </w:rPr>
              <w:t>7</w:t>
            </w:r>
            <w:r>
              <w:rPr>
                <w:rFonts w:hint="eastAsia"/>
                <w:b/>
                <w:bCs/>
                <w:color w:val="auto"/>
                <w:sz w:val="24"/>
                <w:szCs w:val="22"/>
                <w:highlight w:val="none"/>
              </w:rPr>
              <w:t>）</w:t>
            </w:r>
            <w:r>
              <w:rPr>
                <w:b/>
                <w:color w:val="auto"/>
                <w:sz w:val="24"/>
                <w:highlight w:val="none"/>
              </w:rPr>
              <w:t>清洁生产</w:t>
            </w:r>
          </w:p>
          <w:p>
            <w:pPr>
              <w:adjustRightInd w:val="0"/>
              <w:spacing w:line="500" w:lineRule="exact"/>
              <w:ind w:firstLine="480" w:firstLineChars="200"/>
              <w:rPr>
                <w:color w:val="auto"/>
                <w:sz w:val="24"/>
                <w:highlight w:val="none"/>
              </w:rPr>
            </w:pPr>
            <w:r>
              <w:rPr>
                <w:color w:val="auto"/>
                <w:sz w:val="24"/>
                <w:highlight w:val="none"/>
              </w:rPr>
              <w:t xml:space="preserve">清洁生产是一项实现经济与环境协调发展的环境策略，是实现社会经济可持续发展的一项根本性措施。清洁生产将整体预防的、综合的、持续的环境战略应用于生产过程、产品和服务中去。推行清洁生产的目的是最终实现节能、降耗、减污和增效。 </w:t>
            </w:r>
          </w:p>
          <w:p>
            <w:pPr>
              <w:autoSpaceDE w:val="0"/>
              <w:autoSpaceDN w:val="0"/>
              <w:adjustRightInd w:val="0"/>
              <w:spacing w:line="500" w:lineRule="exact"/>
              <w:ind w:firstLine="480" w:firstLineChars="200"/>
              <w:rPr>
                <w:color w:val="auto"/>
                <w:sz w:val="24"/>
                <w:highlight w:val="none"/>
              </w:rPr>
            </w:pPr>
            <w:r>
              <w:rPr>
                <w:color w:val="auto"/>
                <w:sz w:val="24"/>
                <w:highlight w:val="none"/>
              </w:rPr>
              <w:t>本环评选用了清洁生产分析中要求的</w:t>
            </w:r>
            <w:r>
              <w:rPr>
                <w:rFonts w:hint="eastAsia"/>
                <w:color w:val="auto"/>
                <w:sz w:val="24"/>
                <w:highlight w:val="none"/>
              </w:rPr>
              <w:t>能源与原材料</w:t>
            </w:r>
            <w:r>
              <w:rPr>
                <w:color w:val="auto"/>
                <w:sz w:val="24"/>
                <w:highlight w:val="none"/>
              </w:rPr>
              <w:t>指标、</w:t>
            </w:r>
            <w:r>
              <w:rPr>
                <w:bCs/>
                <w:color w:val="auto"/>
                <w:sz w:val="24"/>
                <w:highlight w:val="none"/>
              </w:rPr>
              <w:t>生产工艺（设备）</w:t>
            </w:r>
            <w:r>
              <w:rPr>
                <w:color w:val="auto"/>
                <w:sz w:val="24"/>
                <w:highlight w:val="none"/>
              </w:rPr>
              <w:t>指标、</w:t>
            </w:r>
            <w:r>
              <w:rPr>
                <w:rFonts w:hint="eastAsia"/>
                <w:color w:val="auto"/>
                <w:sz w:val="24"/>
                <w:highlight w:val="none"/>
              </w:rPr>
              <w:t>污染物治理措施</w:t>
            </w:r>
            <w:r>
              <w:rPr>
                <w:rFonts w:hint="eastAsia"/>
                <w:color w:val="auto"/>
                <w:sz w:val="24"/>
                <w:highlight w:val="none"/>
                <w:lang w:eastAsia="zh-CN"/>
              </w:rPr>
              <w:t>等</w:t>
            </w:r>
            <w:r>
              <w:rPr>
                <w:color w:val="auto"/>
                <w:sz w:val="24"/>
                <w:highlight w:val="none"/>
              </w:rPr>
              <w:t>指标来评价本项目的清洁生产。</w:t>
            </w:r>
          </w:p>
          <w:p>
            <w:pPr>
              <w:spacing w:line="500" w:lineRule="exact"/>
              <w:ind w:firstLine="480" w:firstLineChars="200"/>
              <w:rPr>
                <w:bCs/>
                <w:color w:val="auto"/>
                <w:sz w:val="24"/>
                <w:highlight w:val="none"/>
              </w:rPr>
            </w:pPr>
            <w:r>
              <w:rPr>
                <w:bCs/>
                <w:color w:val="auto"/>
                <w:sz w:val="24"/>
                <w:highlight w:val="none"/>
              </w:rPr>
              <w:t>（1）能源与原材料</w:t>
            </w:r>
          </w:p>
          <w:p>
            <w:pPr>
              <w:spacing w:line="500" w:lineRule="exact"/>
              <w:ind w:firstLine="480" w:firstLineChars="200"/>
              <w:rPr>
                <w:bCs/>
                <w:color w:val="auto"/>
                <w:sz w:val="24"/>
                <w:highlight w:val="none"/>
              </w:rPr>
            </w:pPr>
            <w:r>
              <w:rPr>
                <w:bCs/>
                <w:color w:val="auto"/>
                <w:sz w:val="24"/>
                <w:highlight w:val="none"/>
              </w:rPr>
              <w:t>本</w:t>
            </w:r>
            <w:r>
              <w:rPr>
                <w:rFonts w:hint="eastAsia"/>
                <w:bCs/>
                <w:color w:val="auto"/>
                <w:sz w:val="24"/>
                <w:highlight w:val="none"/>
                <w:lang w:eastAsia="zh-CN"/>
              </w:rPr>
              <w:t>次技改</w:t>
            </w:r>
            <w:r>
              <w:rPr>
                <w:bCs/>
                <w:color w:val="auto"/>
                <w:sz w:val="24"/>
                <w:highlight w:val="none"/>
              </w:rPr>
              <w:t>项目生产的主要能源为电，为清洁能源。</w:t>
            </w:r>
          </w:p>
          <w:p>
            <w:pPr>
              <w:spacing w:line="500" w:lineRule="exact"/>
              <w:ind w:firstLine="480" w:firstLineChars="200"/>
              <w:rPr>
                <w:bCs/>
                <w:color w:val="auto"/>
                <w:sz w:val="24"/>
                <w:highlight w:val="none"/>
              </w:rPr>
            </w:pPr>
            <w:r>
              <w:rPr>
                <w:bCs/>
                <w:color w:val="auto"/>
                <w:sz w:val="24"/>
                <w:highlight w:val="none"/>
              </w:rPr>
              <w:t>（2）</w:t>
            </w:r>
            <w:r>
              <w:rPr>
                <w:rFonts w:hint="eastAsia"/>
                <w:bCs/>
                <w:color w:val="auto"/>
                <w:sz w:val="24"/>
                <w:highlight w:val="none"/>
              </w:rPr>
              <w:t>生产工艺与装备要求</w:t>
            </w:r>
          </w:p>
          <w:p>
            <w:pPr>
              <w:spacing w:line="500" w:lineRule="exact"/>
              <w:ind w:firstLine="480" w:firstLineChars="200"/>
              <w:rPr>
                <w:rFonts w:hint="eastAsia" w:eastAsia="宋体"/>
                <w:bCs/>
                <w:color w:val="auto"/>
                <w:sz w:val="24"/>
                <w:highlight w:val="none"/>
                <w:lang w:eastAsia="zh-CN"/>
              </w:rPr>
            </w:pPr>
            <w:r>
              <w:rPr>
                <w:rFonts w:eastAsia="宋体"/>
                <w:snapToGrid w:val="0"/>
                <w:color w:val="auto"/>
                <w:kern w:val="0"/>
                <w:sz w:val="24"/>
                <w:szCs w:val="24"/>
                <w:highlight w:val="none"/>
              </w:rPr>
              <w:t>本</w:t>
            </w:r>
            <w:r>
              <w:rPr>
                <w:rFonts w:hint="eastAsia"/>
                <w:bCs/>
                <w:color w:val="auto"/>
                <w:sz w:val="24"/>
                <w:highlight w:val="none"/>
                <w:lang w:eastAsia="zh-CN"/>
              </w:rPr>
              <w:t>次技改</w:t>
            </w:r>
            <w:r>
              <w:rPr>
                <w:rFonts w:eastAsia="宋体"/>
                <w:snapToGrid w:val="0"/>
                <w:color w:val="auto"/>
                <w:kern w:val="0"/>
                <w:sz w:val="24"/>
                <w:szCs w:val="24"/>
                <w:highlight w:val="none"/>
              </w:rPr>
              <w:t>项目生产工艺成熟，设备操作和控制简便、可靠。</w:t>
            </w:r>
          </w:p>
          <w:p>
            <w:pPr>
              <w:spacing w:line="500" w:lineRule="exact"/>
              <w:ind w:firstLine="480" w:firstLineChars="200"/>
              <w:rPr>
                <w:bCs/>
                <w:color w:val="auto"/>
                <w:sz w:val="24"/>
                <w:highlight w:val="none"/>
              </w:rPr>
            </w:pPr>
            <w:r>
              <w:rPr>
                <w:bCs/>
                <w:color w:val="auto"/>
                <w:sz w:val="24"/>
                <w:highlight w:val="none"/>
              </w:rPr>
              <w:t>（3）污染物治理措施</w:t>
            </w:r>
          </w:p>
          <w:p>
            <w:pPr>
              <w:spacing w:line="500" w:lineRule="exact"/>
              <w:ind w:firstLine="480" w:firstLineChars="200"/>
              <w:rPr>
                <w:bCs/>
                <w:color w:val="auto"/>
                <w:sz w:val="24"/>
                <w:highlight w:val="none"/>
              </w:rPr>
            </w:pPr>
            <w:r>
              <w:rPr>
                <w:bCs/>
                <w:color w:val="auto"/>
                <w:sz w:val="24"/>
                <w:highlight w:val="none"/>
              </w:rPr>
              <w:t>本</w:t>
            </w:r>
            <w:r>
              <w:rPr>
                <w:rFonts w:hint="eastAsia"/>
                <w:bCs/>
                <w:color w:val="auto"/>
                <w:sz w:val="24"/>
                <w:highlight w:val="none"/>
                <w:lang w:eastAsia="zh-CN"/>
              </w:rPr>
              <w:t>次技改</w:t>
            </w:r>
            <w:r>
              <w:rPr>
                <w:bCs/>
                <w:color w:val="auto"/>
                <w:sz w:val="24"/>
                <w:highlight w:val="none"/>
              </w:rPr>
              <w:t>项目生产设备全部布置在生产车间内，设专门的通风换气系统</w:t>
            </w:r>
            <w:r>
              <w:rPr>
                <w:rFonts w:hint="eastAsia"/>
                <w:bCs/>
                <w:color w:val="auto"/>
                <w:sz w:val="24"/>
                <w:highlight w:val="none"/>
                <w:lang w:eastAsia="zh-CN"/>
              </w:rPr>
              <w:t>；</w:t>
            </w:r>
            <w:r>
              <w:rPr>
                <w:rFonts w:hint="eastAsia"/>
                <w:bCs/>
                <w:color w:val="auto"/>
                <w:sz w:val="24"/>
                <w:highlight w:val="none"/>
                <w:lang w:val="en-US" w:eastAsia="zh-CN"/>
              </w:rPr>
              <w:t>数控火焰切割机</w:t>
            </w:r>
            <w:r>
              <w:rPr>
                <w:bCs/>
                <w:color w:val="auto"/>
                <w:sz w:val="24"/>
                <w:highlight w:val="none"/>
              </w:rPr>
              <w:t>产生的</w:t>
            </w:r>
            <w:r>
              <w:rPr>
                <w:rFonts w:hint="eastAsia"/>
                <w:bCs/>
                <w:color w:val="auto"/>
                <w:sz w:val="24"/>
                <w:highlight w:val="none"/>
                <w:lang w:eastAsia="zh-CN"/>
              </w:rPr>
              <w:t>含尘废气通过脉冲布袋除尘器处理后排放；自制抛光机废气设置脉冲布袋除尘器处理后达标排放；</w:t>
            </w:r>
            <w:r>
              <w:rPr>
                <w:bCs/>
                <w:color w:val="auto"/>
                <w:sz w:val="24"/>
                <w:highlight w:val="none"/>
              </w:rPr>
              <w:t>废气</w:t>
            </w:r>
            <w:r>
              <w:rPr>
                <w:rFonts w:hint="eastAsia"/>
                <w:bCs/>
                <w:color w:val="auto"/>
                <w:sz w:val="24"/>
                <w:highlight w:val="none"/>
                <w:lang w:eastAsia="zh-CN"/>
              </w:rPr>
              <w:t>均</w:t>
            </w:r>
            <w:r>
              <w:rPr>
                <w:bCs/>
                <w:color w:val="auto"/>
                <w:sz w:val="24"/>
                <w:highlight w:val="none"/>
              </w:rPr>
              <w:t>能够达标排放。</w:t>
            </w:r>
          </w:p>
          <w:p>
            <w:pPr>
              <w:spacing w:line="500" w:lineRule="exact"/>
              <w:ind w:firstLine="480" w:firstLineChars="200"/>
              <w:rPr>
                <w:bCs/>
                <w:color w:val="auto"/>
                <w:sz w:val="24"/>
                <w:highlight w:val="none"/>
              </w:rPr>
            </w:pPr>
            <w:r>
              <w:rPr>
                <w:bCs/>
                <w:color w:val="auto"/>
                <w:sz w:val="24"/>
                <w:highlight w:val="none"/>
              </w:rPr>
              <w:t>本</w:t>
            </w:r>
            <w:r>
              <w:rPr>
                <w:rFonts w:hint="eastAsia"/>
                <w:bCs/>
                <w:color w:val="auto"/>
                <w:sz w:val="24"/>
                <w:highlight w:val="none"/>
                <w:lang w:eastAsia="zh-CN"/>
              </w:rPr>
              <w:t>次技改</w:t>
            </w:r>
            <w:r>
              <w:rPr>
                <w:bCs/>
                <w:color w:val="auto"/>
                <w:sz w:val="24"/>
                <w:highlight w:val="none"/>
              </w:rPr>
              <w:t>项目</w:t>
            </w:r>
            <w:r>
              <w:rPr>
                <w:rFonts w:hint="eastAsia"/>
                <w:bCs/>
                <w:color w:val="auto"/>
                <w:sz w:val="24"/>
                <w:highlight w:val="none"/>
                <w:lang w:eastAsia="zh-CN"/>
              </w:rPr>
              <w:t>无新增生产废水，生活污水排入园区污水管网</w:t>
            </w:r>
            <w:r>
              <w:rPr>
                <w:bCs/>
                <w:color w:val="auto"/>
                <w:sz w:val="24"/>
                <w:highlight w:val="none"/>
              </w:rPr>
              <w:t>；固废均妥善处置；</w:t>
            </w:r>
          </w:p>
          <w:p>
            <w:pPr>
              <w:spacing w:line="500" w:lineRule="exact"/>
              <w:ind w:firstLine="480" w:firstLineChars="200"/>
              <w:rPr>
                <w:bCs/>
                <w:color w:val="auto"/>
                <w:sz w:val="24"/>
                <w:highlight w:val="none"/>
              </w:rPr>
            </w:pPr>
            <w:r>
              <w:rPr>
                <w:bCs/>
                <w:color w:val="auto"/>
                <w:sz w:val="24"/>
                <w:highlight w:val="none"/>
              </w:rPr>
              <w:t>本</w:t>
            </w:r>
            <w:r>
              <w:rPr>
                <w:rFonts w:hint="eastAsia"/>
                <w:bCs/>
                <w:color w:val="auto"/>
                <w:sz w:val="24"/>
                <w:highlight w:val="none"/>
                <w:lang w:eastAsia="zh-CN"/>
              </w:rPr>
              <w:t>次技改</w:t>
            </w:r>
            <w:r>
              <w:rPr>
                <w:bCs/>
                <w:color w:val="auto"/>
                <w:sz w:val="24"/>
                <w:highlight w:val="none"/>
              </w:rPr>
              <w:t>项目主要噪声设备均安装的厂房内，基础减震，经距离衰减后，厂界噪声达标，不会对周围敏感点造成影响；</w:t>
            </w:r>
          </w:p>
          <w:p>
            <w:pPr>
              <w:spacing w:line="500" w:lineRule="exact"/>
              <w:ind w:firstLine="480" w:firstLineChars="200"/>
              <w:rPr>
                <w:bCs/>
                <w:color w:val="auto"/>
                <w:sz w:val="24"/>
                <w:highlight w:val="none"/>
              </w:rPr>
            </w:pPr>
            <w:r>
              <w:rPr>
                <w:bCs/>
                <w:color w:val="auto"/>
                <w:sz w:val="24"/>
                <w:highlight w:val="none"/>
              </w:rPr>
              <w:t>由上述分析可知，项目主要污染物均采取了有效的治理措施，减少了排污量。运行中只要能确保生产设备的稳定操作就可以实现清洁工艺生产。</w:t>
            </w:r>
          </w:p>
          <w:p>
            <w:pPr>
              <w:spacing w:line="500" w:lineRule="exact"/>
              <w:ind w:firstLine="360" w:firstLineChars="150"/>
              <w:rPr>
                <w:bCs/>
                <w:color w:val="auto"/>
                <w:sz w:val="24"/>
                <w:highlight w:val="none"/>
              </w:rPr>
            </w:pPr>
            <w:r>
              <w:rPr>
                <w:bCs/>
                <w:color w:val="auto"/>
                <w:sz w:val="24"/>
                <w:highlight w:val="none"/>
              </w:rPr>
              <w:t>（4）环境管理要求</w:t>
            </w:r>
          </w:p>
          <w:p>
            <w:pPr>
              <w:spacing w:line="500" w:lineRule="exact"/>
              <w:ind w:firstLine="360" w:firstLineChars="150"/>
              <w:rPr>
                <w:bCs/>
                <w:color w:val="auto"/>
                <w:sz w:val="24"/>
                <w:highlight w:val="none"/>
              </w:rPr>
            </w:pPr>
            <w:r>
              <w:rPr>
                <w:bCs/>
                <w:color w:val="auto"/>
                <w:sz w:val="24"/>
                <w:highlight w:val="none"/>
              </w:rPr>
              <w:t>环境管理制度：项目建成后，能做到环境管理制度健全，原始记录及统计数据齐全有效，加强生产过程中的环境管理。建设单位充分重视环境管理，在远期完备环境管理手册、程序文件及作业文件，按照ISO14001建立并运行GB/T24001环境管理体系。</w:t>
            </w:r>
          </w:p>
          <w:p>
            <w:pPr>
              <w:spacing w:line="500" w:lineRule="exact"/>
              <w:ind w:firstLine="360" w:firstLineChars="150"/>
              <w:rPr>
                <w:bCs/>
                <w:color w:val="auto"/>
                <w:sz w:val="24"/>
                <w:highlight w:val="none"/>
              </w:rPr>
            </w:pPr>
            <w:r>
              <w:rPr>
                <w:bCs/>
                <w:color w:val="auto"/>
                <w:sz w:val="24"/>
                <w:highlight w:val="none"/>
              </w:rPr>
              <w:t>生产过程环境管理：建设单位重视生产管理，建成后严格实施原材料质检制度和原材料消耗定额管理，将对能耗、水耗进行考核，对产品合格率进行考核，各种人流、物料包括人的活动区域、物品堆放区域、危险品等有明显标识，对跑冒滴漏现象能够做好控制。</w:t>
            </w:r>
          </w:p>
          <w:p>
            <w:pPr>
              <w:spacing w:line="500" w:lineRule="exact"/>
              <w:ind w:firstLine="360" w:firstLineChars="150"/>
              <w:rPr>
                <w:bCs/>
                <w:color w:val="auto"/>
                <w:sz w:val="24"/>
                <w:highlight w:val="none"/>
              </w:rPr>
            </w:pPr>
            <w:r>
              <w:rPr>
                <w:bCs/>
                <w:color w:val="auto"/>
                <w:sz w:val="24"/>
                <w:highlight w:val="none"/>
              </w:rPr>
              <w:t>（5）清洁生产评价结论</w:t>
            </w:r>
          </w:p>
          <w:p>
            <w:pPr>
              <w:spacing w:line="360" w:lineRule="auto"/>
              <w:ind w:firstLine="480" w:firstLineChars="200"/>
              <w:jc w:val="left"/>
              <w:rPr>
                <w:color w:val="auto"/>
                <w:highlight w:val="none"/>
              </w:rPr>
            </w:pPr>
            <w:r>
              <w:rPr>
                <w:bCs/>
                <w:color w:val="auto"/>
                <w:sz w:val="24"/>
                <w:highlight w:val="none"/>
              </w:rPr>
              <w:t>本项目从原辅材料的选取，产品生产过程控制、及工艺流程和节能措施等方面，均较好地按照清洁生产的要求进行设计；其质量管理和员工素质均达到较先进水平，并将清洁生产的原则贯穿于生产的全过程。工程投产后，在物耗、能耗、排污等方面均可满足清洁生产的基本要求，达到国内清洁生产先进水平，因此，项目的建设是符合清洁生产的要求的。</w:t>
            </w:r>
          </w:p>
          <w:p>
            <w:pPr>
              <w:spacing w:line="360" w:lineRule="auto"/>
              <w:ind w:firstLine="482" w:firstLineChars="200"/>
              <w:jc w:val="left"/>
              <w:rPr>
                <w:b/>
                <w:bCs/>
                <w:color w:val="auto"/>
                <w:sz w:val="24"/>
                <w:szCs w:val="22"/>
                <w:highlight w:val="none"/>
                <w:lang w:val="zh-CN"/>
              </w:rPr>
            </w:pPr>
            <w:r>
              <w:rPr>
                <w:rFonts w:hint="eastAsia"/>
                <w:b/>
                <w:bCs/>
                <w:color w:val="auto"/>
                <w:sz w:val="24"/>
                <w:szCs w:val="22"/>
                <w:highlight w:val="none"/>
              </w:rPr>
              <w:t>（</w:t>
            </w:r>
            <w:r>
              <w:rPr>
                <w:rFonts w:hint="eastAsia"/>
                <w:b/>
                <w:bCs/>
                <w:color w:val="auto"/>
                <w:sz w:val="24"/>
                <w:szCs w:val="22"/>
                <w:highlight w:val="none"/>
                <w:lang w:val="en-US" w:eastAsia="zh-CN"/>
              </w:rPr>
              <w:t>8</w:t>
            </w:r>
            <w:r>
              <w:rPr>
                <w:rFonts w:hint="eastAsia"/>
                <w:b/>
                <w:bCs/>
                <w:color w:val="auto"/>
                <w:sz w:val="24"/>
                <w:szCs w:val="22"/>
                <w:highlight w:val="none"/>
              </w:rPr>
              <w:t>）</w:t>
            </w:r>
            <w:r>
              <w:rPr>
                <w:b/>
                <w:bCs/>
                <w:color w:val="auto"/>
                <w:sz w:val="24"/>
                <w:szCs w:val="22"/>
                <w:highlight w:val="none"/>
                <w:lang w:val="zh-CN"/>
              </w:rPr>
              <w:t>排污口规范化</w:t>
            </w:r>
          </w:p>
          <w:p>
            <w:pPr>
              <w:spacing w:line="360" w:lineRule="auto"/>
              <w:ind w:firstLine="480" w:firstLineChars="200"/>
              <w:rPr>
                <w:color w:val="auto"/>
                <w:sz w:val="24"/>
                <w:highlight w:val="none"/>
              </w:rPr>
            </w:pPr>
            <w:r>
              <w:rPr>
                <w:color w:val="auto"/>
                <w:sz w:val="24"/>
                <w:highlight w:val="none"/>
              </w:rPr>
              <w:t>排污口规范化与主体工程必须同时进行，并按照《污染源监测技术规范》设置规范的、便于测量流量、流速的测流段和采样点。上述内容作为本项目竣工环保验收的重要内容之一，排放口规范化的工作需由具有专业资质的单位负责施工建设。具体要求如下：</w:t>
            </w:r>
          </w:p>
          <w:p>
            <w:pPr>
              <w:spacing w:line="360" w:lineRule="auto"/>
              <w:ind w:firstLine="480" w:firstLineChars="200"/>
              <w:rPr>
                <w:color w:val="auto"/>
                <w:sz w:val="24"/>
                <w:highlight w:val="none"/>
              </w:rPr>
            </w:pPr>
            <w:r>
              <w:rPr>
                <w:rFonts w:hint="eastAsia"/>
                <w:color w:val="auto"/>
                <w:sz w:val="24"/>
                <w:highlight w:val="none"/>
              </w:rPr>
              <w:t>①</w:t>
            </w:r>
            <w:r>
              <w:rPr>
                <w:color w:val="auto"/>
                <w:sz w:val="24"/>
                <w:highlight w:val="none"/>
              </w:rPr>
              <w:t>废水排放口要求</w:t>
            </w:r>
          </w:p>
          <w:p>
            <w:pPr>
              <w:adjustRightInd w:val="0"/>
              <w:snapToGrid w:val="0"/>
              <w:spacing w:line="360" w:lineRule="auto"/>
              <w:ind w:firstLine="480" w:firstLineChars="200"/>
              <w:rPr>
                <w:color w:val="auto"/>
                <w:sz w:val="24"/>
                <w:highlight w:val="none"/>
              </w:rPr>
            </w:pPr>
            <w:r>
              <w:rPr>
                <w:color w:val="auto"/>
                <w:sz w:val="24"/>
                <w:highlight w:val="none"/>
              </w:rPr>
              <w:t>本</w:t>
            </w:r>
            <w:r>
              <w:rPr>
                <w:rFonts w:hint="eastAsia"/>
                <w:color w:val="auto"/>
                <w:sz w:val="24"/>
                <w:highlight w:val="none"/>
                <w:lang w:eastAsia="zh-CN"/>
              </w:rPr>
              <w:t>次技改项目无新增废水排放</w:t>
            </w:r>
            <w:r>
              <w:rPr>
                <w:color w:val="auto"/>
                <w:sz w:val="24"/>
                <w:highlight w:val="none"/>
              </w:rPr>
              <w:t>。</w:t>
            </w:r>
          </w:p>
          <w:p>
            <w:pPr>
              <w:spacing w:line="360" w:lineRule="auto"/>
              <w:ind w:firstLine="480" w:firstLineChars="200"/>
              <w:rPr>
                <w:color w:val="auto"/>
                <w:sz w:val="24"/>
                <w:highlight w:val="none"/>
              </w:rPr>
            </w:pPr>
            <w:r>
              <w:rPr>
                <w:rFonts w:hint="eastAsia"/>
                <w:color w:val="auto"/>
                <w:sz w:val="24"/>
                <w:highlight w:val="none"/>
              </w:rPr>
              <w:t>②</w:t>
            </w:r>
            <w:r>
              <w:rPr>
                <w:color w:val="auto"/>
                <w:sz w:val="24"/>
                <w:highlight w:val="none"/>
              </w:rPr>
              <w:t>废气排放口要求</w:t>
            </w:r>
          </w:p>
          <w:p>
            <w:pPr>
              <w:spacing w:line="360" w:lineRule="auto"/>
              <w:ind w:firstLine="480" w:firstLineChars="200"/>
              <w:rPr>
                <w:color w:val="auto"/>
                <w:sz w:val="24"/>
                <w:highlight w:val="none"/>
              </w:rPr>
            </w:pPr>
            <w:r>
              <w:rPr>
                <w:rFonts w:hint="eastAsia"/>
                <w:color w:val="auto"/>
                <w:sz w:val="24"/>
                <w:highlight w:val="none"/>
                <w:lang w:eastAsia="zh-CN"/>
              </w:rPr>
              <w:t>技改</w:t>
            </w:r>
            <w:r>
              <w:rPr>
                <w:rFonts w:hint="eastAsia"/>
                <w:color w:val="auto"/>
                <w:sz w:val="24"/>
                <w:highlight w:val="none"/>
              </w:rPr>
              <w:t>项目</w:t>
            </w:r>
            <w:r>
              <w:rPr>
                <w:rFonts w:hint="eastAsia"/>
                <w:color w:val="auto"/>
                <w:sz w:val="24"/>
                <w:highlight w:val="none"/>
                <w:lang w:eastAsia="zh-CN"/>
              </w:rPr>
              <w:t>完</w:t>
            </w:r>
            <w:r>
              <w:rPr>
                <w:rFonts w:hint="eastAsia"/>
                <w:color w:val="auto"/>
                <w:sz w:val="24"/>
                <w:highlight w:val="none"/>
              </w:rPr>
              <w:t>成后在排气筒附近地面醒目处设置环保图形标志牌，标明排气筒高度、出口内径、排放污染物种类等。废气排放口必须符合《污染源监测技术规范》的要求，便于采样、监测的要求，各废气管道应设置永久采样孔，其采样口由环境监察支队和环境监测站共同确认。</w:t>
            </w:r>
          </w:p>
          <w:p>
            <w:pPr>
              <w:spacing w:line="360" w:lineRule="auto"/>
              <w:ind w:firstLine="480" w:firstLineChars="200"/>
              <w:rPr>
                <w:color w:val="auto"/>
                <w:sz w:val="24"/>
                <w:highlight w:val="none"/>
              </w:rPr>
            </w:pPr>
            <w:r>
              <w:rPr>
                <w:rFonts w:hint="eastAsia"/>
                <w:color w:val="auto"/>
                <w:sz w:val="24"/>
                <w:highlight w:val="none"/>
              </w:rPr>
              <w:t>③</w:t>
            </w:r>
            <w:r>
              <w:rPr>
                <w:color w:val="auto"/>
                <w:sz w:val="24"/>
                <w:highlight w:val="none"/>
              </w:rPr>
              <w:t>固体废物贮存(处置)场所规范化</w:t>
            </w:r>
            <w:r>
              <w:rPr>
                <w:rFonts w:hint="eastAsia"/>
                <w:color w:val="auto"/>
                <w:sz w:val="24"/>
                <w:highlight w:val="none"/>
              </w:rPr>
              <w:t>要求</w:t>
            </w:r>
          </w:p>
          <w:p>
            <w:pPr>
              <w:spacing w:line="360" w:lineRule="auto"/>
              <w:ind w:firstLine="480" w:firstLineChars="200"/>
              <w:rPr>
                <w:bCs/>
                <w:color w:val="auto"/>
                <w:sz w:val="24"/>
                <w:highlight w:val="none"/>
              </w:rPr>
            </w:pPr>
            <w:r>
              <w:rPr>
                <w:rFonts w:hint="eastAsia"/>
                <w:bCs/>
                <w:color w:val="auto"/>
                <w:sz w:val="24"/>
                <w:highlight w:val="none"/>
              </w:rPr>
              <w:t>一般固体废物储存场所按照</w:t>
            </w:r>
            <w:r>
              <w:rPr>
                <w:bCs/>
                <w:color w:val="auto"/>
                <w:sz w:val="24"/>
                <w:highlight w:val="none"/>
              </w:rPr>
              <w:t>《一般工业固体废物贮存、处置场污染控制标准》（GB18599-2001）及2013年修改单（公告2013年第36号）</w:t>
            </w:r>
            <w:r>
              <w:rPr>
                <w:rFonts w:hint="eastAsia"/>
                <w:bCs/>
                <w:color w:val="auto"/>
                <w:sz w:val="24"/>
                <w:highlight w:val="none"/>
              </w:rPr>
              <w:t>建设</w:t>
            </w:r>
            <w:r>
              <w:rPr>
                <w:bCs/>
                <w:color w:val="auto"/>
                <w:sz w:val="24"/>
                <w:highlight w:val="none"/>
              </w:rPr>
              <w:t>； 危险</w:t>
            </w:r>
            <w:r>
              <w:rPr>
                <w:rFonts w:hint="eastAsia"/>
                <w:bCs/>
                <w:color w:val="auto"/>
                <w:sz w:val="24"/>
                <w:highlight w:val="none"/>
              </w:rPr>
              <w:t>废物储存场所按照</w:t>
            </w:r>
            <w:r>
              <w:rPr>
                <w:bCs/>
                <w:color w:val="auto"/>
                <w:sz w:val="24"/>
                <w:highlight w:val="none"/>
              </w:rPr>
              <w:t>《危险废物贮存污染物控制标准》（GB18597-2001）及2013年修改单</w:t>
            </w:r>
            <w:r>
              <w:rPr>
                <w:rFonts w:hint="eastAsia"/>
                <w:bCs/>
                <w:color w:val="auto"/>
                <w:sz w:val="24"/>
                <w:highlight w:val="none"/>
              </w:rPr>
              <w:t>建设</w:t>
            </w:r>
            <w:r>
              <w:rPr>
                <w:bCs/>
                <w:color w:val="auto"/>
                <w:sz w:val="24"/>
                <w:highlight w:val="none"/>
              </w:rPr>
              <w:t>。</w:t>
            </w:r>
          </w:p>
          <w:p>
            <w:pPr>
              <w:spacing w:line="360" w:lineRule="auto"/>
              <w:ind w:firstLine="480" w:firstLineChars="200"/>
              <w:rPr>
                <w:color w:val="auto"/>
                <w:sz w:val="24"/>
                <w:highlight w:val="none"/>
              </w:rPr>
            </w:pPr>
            <w:r>
              <w:rPr>
                <w:rFonts w:hint="eastAsia"/>
                <w:color w:val="auto"/>
                <w:sz w:val="24"/>
                <w:highlight w:val="none"/>
              </w:rPr>
              <w:t>④</w:t>
            </w:r>
            <w:r>
              <w:rPr>
                <w:color w:val="auto"/>
                <w:sz w:val="24"/>
                <w:highlight w:val="none"/>
              </w:rPr>
              <w:t>设置标志牌</w:t>
            </w:r>
          </w:p>
          <w:p>
            <w:pPr>
              <w:spacing w:line="360" w:lineRule="auto"/>
              <w:ind w:firstLine="480" w:firstLineChars="200"/>
              <w:rPr>
                <w:color w:val="auto"/>
                <w:sz w:val="24"/>
                <w:highlight w:val="none"/>
              </w:rPr>
            </w:pPr>
            <w:r>
              <w:rPr>
                <w:color w:val="auto"/>
                <w:sz w:val="24"/>
                <w:highlight w:val="none"/>
              </w:rPr>
              <w:t>环境保护图形标志牌由国家环保部统一定点制作，并由市环境监理部门根据企业排污情况统一向国家环保部订购。排污口分布图应由市环境监理部门统一绘制。排放一般污染物排污口(源)，设置提示式标志牌。标志牌设置位置在排污口(采样点)附近且醒目处，高度为标志牌上缘离地面2m。排污口附近1m范围内有建筑物的，设平面式标志牌，无建筑物的设立式标志牌。</w:t>
            </w:r>
          </w:p>
          <w:p>
            <w:pPr>
              <w:spacing w:line="360" w:lineRule="auto"/>
              <w:ind w:firstLine="480" w:firstLineChars="200"/>
              <w:rPr>
                <w:color w:val="auto"/>
                <w:sz w:val="24"/>
                <w:highlight w:val="none"/>
              </w:rPr>
            </w:pPr>
            <w:r>
              <w:rPr>
                <w:color w:val="auto"/>
                <w:sz w:val="24"/>
                <w:highlight w:val="none"/>
              </w:rPr>
              <w:t>规范化排污口的有关设置(如图形标志牌、计量装置、监控装置等)属环保设施，排污单位必须负责日常的维护保养，任何单位和个人不得擅自拆除，如需变更的需报环境监理部门同意并办理变更手续</w:t>
            </w:r>
            <w:r>
              <w:rPr>
                <w:rFonts w:hint="eastAsia"/>
                <w:color w:val="auto"/>
                <w:sz w:val="24"/>
                <w:highlight w:val="none"/>
              </w:rPr>
              <w:t>。</w:t>
            </w:r>
          </w:p>
          <w:p>
            <w:pPr>
              <w:spacing w:line="360" w:lineRule="auto"/>
              <w:ind w:firstLine="482" w:firstLineChars="200"/>
              <w:rPr>
                <w:b/>
                <w:color w:val="auto"/>
                <w:sz w:val="24"/>
                <w:highlight w:val="none"/>
              </w:rPr>
            </w:pPr>
            <w:r>
              <w:rPr>
                <w:rFonts w:hint="eastAsia"/>
                <w:b/>
                <w:color w:val="auto"/>
                <w:sz w:val="24"/>
                <w:highlight w:val="none"/>
              </w:rPr>
              <w:t>（</w:t>
            </w:r>
            <w:r>
              <w:rPr>
                <w:rFonts w:hint="eastAsia"/>
                <w:b/>
                <w:color w:val="auto"/>
                <w:sz w:val="24"/>
                <w:highlight w:val="none"/>
                <w:lang w:val="en-US" w:eastAsia="zh-CN"/>
              </w:rPr>
              <w:t>9</w:t>
            </w:r>
            <w:r>
              <w:rPr>
                <w:rFonts w:hint="eastAsia"/>
                <w:b/>
                <w:color w:val="auto"/>
                <w:sz w:val="24"/>
                <w:highlight w:val="none"/>
              </w:rPr>
              <w:t>）</w:t>
            </w:r>
            <w:r>
              <w:rPr>
                <w:b/>
                <w:color w:val="auto"/>
                <w:sz w:val="24"/>
                <w:highlight w:val="none"/>
              </w:rPr>
              <w:t>环境运行管理</w:t>
            </w:r>
          </w:p>
          <w:p>
            <w:pPr>
              <w:spacing w:line="360" w:lineRule="auto"/>
              <w:ind w:firstLine="480" w:firstLineChars="200"/>
              <w:rPr>
                <w:bCs/>
                <w:color w:val="auto"/>
                <w:sz w:val="24"/>
                <w:highlight w:val="none"/>
              </w:rPr>
            </w:pPr>
            <w:r>
              <w:rPr>
                <w:rFonts w:hint="eastAsia"/>
                <w:bCs/>
                <w:color w:val="auto"/>
                <w:sz w:val="24"/>
                <w:highlight w:val="none"/>
              </w:rPr>
              <w:t>①</w:t>
            </w:r>
            <w:r>
              <w:rPr>
                <w:bCs/>
                <w:color w:val="auto"/>
                <w:sz w:val="24"/>
                <w:highlight w:val="none"/>
              </w:rPr>
              <w:t>根据国家环保政策、标准及环境监测要求，制定该项目运行期环保管理规章制度、各种污染物排放控制指标；</w:t>
            </w:r>
          </w:p>
          <w:p>
            <w:pPr>
              <w:spacing w:line="360" w:lineRule="auto"/>
              <w:ind w:firstLine="480" w:firstLineChars="200"/>
              <w:rPr>
                <w:bCs/>
                <w:color w:val="auto"/>
                <w:sz w:val="24"/>
                <w:highlight w:val="none"/>
              </w:rPr>
            </w:pPr>
            <w:r>
              <w:rPr>
                <w:rFonts w:hint="eastAsia"/>
                <w:bCs/>
                <w:color w:val="auto"/>
                <w:sz w:val="24"/>
                <w:highlight w:val="none"/>
              </w:rPr>
              <w:t>②</w:t>
            </w:r>
            <w:r>
              <w:rPr>
                <w:bCs/>
                <w:color w:val="auto"/>
                <w:sz w:val="24"/>
                <w:highlight w:val="none"/>
              </w:rPr>
              <w:t>负责该项目内所有环保设施的日常运行管理，保障各环保设施的正常运行，并对环保设施的改进提出积极的建议；</w:t>
            </w:r>
          </w:p>
          <w:p>
            <w:pPr>
              <w:spacing w:line="480" w:lineRule="exact"/>
              <w:ind w:firstLine="480" w:firstLineChars="200"/>
              <w:rPr>
                <w:bCs/>
                <w:color w:val="auto"/>
                <w:sz w:val="24"/>
                <w:highlight w:val="none"/>
              </w:rPr>
            </w:pPr>
            <w:r>
              <w:rPr>
                <w:rFonts w:hint="eastAsia"/>
                <w:bCs/>
                <w:color w:val="auto"/>
                <w:sz w:val="24"/>
                <w:highlight w:val="none"/>
              </w:rPr>
              <w:t>③</w:t>
            </w:r>
            <w:r>
              <w:rPr>
                <w:bCs/>
                <w:color w:val="auto"/>
                <w:sz w:val="24"/>
                <w:highlight w:val="none"/>
              </w:rPr>
              <w:t>负责该项目运行期环境监测工作，及时掌握该项目污染状况，整理监测数据，建立污染源档案；</w:t>
            </w:r>
          </w:p>
          <w:p>
            <w:pPr>
              <w:spacing w:line="480" w:lineRule="exact"/>
              <w:ind w:firstLine="480" w:firstLineChars="200"/>
              <w:rPr>
                <w:bCs/>
                <w:color w:val="auto"/>
                <w:sz w:val="24"/>
                <w:highlight w:val="none"/>
              </w:rPr>
            </w:pPr>
            <w:r>
              <w:rPr>
                <w:rFonts w:hint="eastAsia"/>
                <w:bCs/>
                <w:color w:val="auto"/>
                <w:sz w:val="24"/>
                <w:highlight w:val="none"/>
              </w:rPr>
              <w:t>④</w:t>
            </w:r>
            <w:r>
              <w:rPr>
                <w:bCs/>
                <w:color w:val="auto"/>
                <w:sz w:val="24"/>
                <w:highlight w:val="none"/>
              </w:rPr>
              <w:t>该项目运行期的环境管理由安全生产环保科承担；负责该项目内所有环保设施的日常运行管理，保障各环保设施的正常运行，并对环保设施的改进提出积极的建议；</w:t>
            </w:r>
          </w:p>
          <w:p>
            <w:pPr>
              <w:spacing w:line="480" w:lineRule="exact"/>
              <w:ind w:firstLine="480" w:firstLineChars="200"/>
              <w:rPr>
                <w:bCs/>
                <w:color w:val="auto"/>
                <w:sz w:val="24"/>
                <w:highlight w:val="none"/>
              </w:rPr>
            </w:pPr>
            <w:r>
              <w:rPr>
                <w:rFonts w:hint="eastAsia"/>
                <w:bCs/>
                <w:color w:val="auto"/>
                <w:sz w:val="24"/>
                <w:highlight w:val="none"/>
              </w:rPr>
              <w:t>⑤</w:t>
            </w:r>
            <w:r>
              <w:rPr>
                <w:bCs/>
                <w:color w:val="auto"/>
                <w:sz w:val="24"/>
                <w:highlight w:val="none"/>
              </w:rPr>
              <w:t>负责对职工进行环保宣传教育工作，以及检查、监督各单位环保制度的执行情况；</w:t>
            </w:r>
          </w:p>
          <w:p>
            <w:pPr>
              <w:spacing w:line="480" w:lineRule="exact"/>
              <w:ind w:firstLine="480" w:firstLineChars="200"/>
              <w:rPr>
                <w:bCs/>
                <w:color w:val="auto"/>
                <w:sz w:val="24"/>
                <w:highlight w:val="none"/>
              </w:rPr>
            </w:pPr>
            <w:r>
              <w:rPr>
                <w:rFonts w:hint="eastAsia"/>
                <w:bCs/>
                <w:color w:val="auto"/>
                <w:sz w:val="24"/>
                <w:highlight w:val="none"/>
              </w:rPr>
              <w:t>⑥</w:t>
            </w:r>
            <w:r>
              <w:rPr>
                <w:bCs/>
                <w:color w:val="auto"/>
                <w:sz w:val="24"/>
                <w:highlight w:val="none"/>
              </w:rPr>
              <w:t>建立健全环境档案管理与保密制度、污染防治设施设计技术改进及运行资料、污染源调查技术档案、环境监测及评价资料、项目平面图和给排水管网图等。</w:t>
            </w:r>
          </w:p>
          <w:p>
            <w:pPr>
              <w:spacing w:line="480" w:lineRule="exact"/>
              <w:ind w:firstLine="482" w:firstLineChars="200"/>
              <w:rPr>
                <w:b/>
                <w:color w:val="auto"/>
                <w:sz w:val="24"/>
                <w:highlight w:val="none"/>
              </w:rPr>
            </w:pPr>
            <w:r>
              <w:rPr>
                <w:rFonts w:hint="eastAsia"/>
                <w:b/>
                <w:color w:val="auto"/>
                <w:sz w:val="24"/>
                <w:highlight w:val="none"/>
              </w:rPr>
              <w:t>（</w:t>
            </w:r>
            <w:r>
              <w:rPr>
                <w:rFonts w:hint="eastAsia"/>
                <w:b/>
                <w:color w:val="auto"/>
                <w:sz w:val="24"/>
                <w:highlight w:val="none"/>
                <w:lang w:val="en-US" w:eastAsia="zh-CN"/>
              </w:rPr>
              <w:t>10</w:t>
            </w:r>
            <w:r>
              <w:rPr>
                <w:rFonts w:hint="eastAsia"/>
                <w:b/>
                <w:color w:val="auto"/>
                <w:sz w:val="24"/>
                <w:highlight w:val="none"/>
              </w:rPr>
              <w:t>）</w:t>
            </w:r>
            <w:r>
              <w:rPr>
                <w:b/>
                <w:color w:val="auto"/>
                <w:sz w:val="24"/>
                <w:highlight w:val="none"/>
              </w:rPr>
              <w:t>企业信息公开</w:t>
            </w:r>
          </w:p>
          <w:p>
            <w:pPr>
              <w:spacing w:line="480" w:lineRule="exact"/>
              <w:ind w:firstLine="480" w:firstLineChars="200"/>
              <w:rPr>
                <w:bCs/>
                <w:color w:val="auto"/>
                <w:sz w:val="24"/>
                <w:highlight w:val="none"/>
              </w:rPr>
            </w:pPr>
            <w:r>
              <w:rPr>
                <w:bCs/>
                <w:color w:val="auto"/>
                <w:sz w:val="24"/>
                <w:highlight w:val="none"/>
              </w:rPr>
              <w:t>根据《企业事业单位环境信息公开办法》（环保部第31号）相关规定，企业事业单位应当建立本单位环境信息公开制度，指定机构负责本单位环境信息公开日常工作。根据企业特点，</w:t>
            </w:r>
            <w:r>
              <w:rPr>
                <w:rFonts w:hint="eastAsia"/>
                <w:bCs/>
                <w:color w:val="auto"/>
                <w:sz w:val="24"/>
                <w:highlight w:val="none"/>
                <w:lang w:eastAsia="zh-CN"/>
              </w:rPr>
              <w:t>河北透平风机制造有限公司</w:t>
            </w:r>
            <w:r>
              <w:rPr>
                <w:bCs/>
                <w:color w:val="auto"/>
                <w:sz w:val="24"/>
                <w:highlight w:val="none"/>
              </w:rPr>
              <w:t>应在本单位网站、本单位的资料索取点、信息公开栏、信息亭或其他便于公众及时、准确获得信息的场所和方式公开下列信息：</w:t>
            </w:r>
          </w:p>
          <w:p>
            <w:pPr>
              <w:spacing w:line="480" w:lineRule="exact"/>
              <w:ind w:firstLine="480" w:firstLineChars="200"/>
              <w:rPr>
                <w:bCs/>
                <w:color w:val="auto"/>
                <w:sz w:val="24"/>
                <w:highlight w:val="none"/>
              </w:rPr>
            </w:pPr>
            <w:r>
              <w:rPr>
                <w:bCs/>
                <w:color w:val="auto"/>
                <w:sz w:val="24"/>
                <w:highlight w:val="none"/>
              </w:rPr>
              <w:t>1、项目基本信息</w:t>
            </w:r>
          </w:p>
          <w:p>
            <w:pPr>
              <w:spacing w:line="440" w:lineRule="exact"/>
              <w:jc w:val="center"/>
              <w:rPr>
                <w:b/>
                <w:color w:val="auto"/>
                <w:sz w:val="24"/>
                <w:highlight w:val="none"/>
              </w:rPr>
            </w:pPr>
            <w:r>
              <w:rPr>
                <w:b/>
                <w:color w:val="auto"/>
                <w:sz w:val="24"/>
                <w:highlight w:val="none"/>
              </w:rPr>
              <w:t>表</w:t>
            </w:r>
            <w:r>
              <w:rPr>
                <w:rFonts w:hint="eastAsia"/>
                <w:b/>
                <w:color w:val="auto"/>
                <w:sz w:val="24"/>
                <w:highlight w:val="none"/>
                <w:lang w:val="en-US" w:eastAsia="zh-CN"/>
              </w:rPr>
              <w:t>44</w:t>
            </w:r>
            <w:r>
              <w:rPr>
                <w:b/>
                <w:color w:val="auto"/>
                <w:sz w:val="24"/>
                <w:highlight w:val="none"/>
              </w:rPr>
              <w:t xml:space="preserve">   企业基础信息一览表</w:t>
            </w:r>
          </w:p>
          <w:tbl>
            <w:tblPr>
              <w:tblStyle w:val="31"/>
              <w:tblW w:w="91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90"/>
              <w:gridCol w:w="2145"/>
              <w:gridCol w:w="62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pPr>
                    <w:spacing w:line="0" w:lineRule="atLeast"/>
                    <w:jc w:val="center"/>
                    <w:rPr>
                      <w:color w:val="auto"/>
                      <w:kern w:val="0"/>
                      <w:sz w:val="21"/>
                      <w:szCs w:val="21"/>
                      <w:highlight w:val="none"/>
                    </w:rPr>
                  </w:pPr>
                  <w:r>
                    <w:rPr>
                      <w:color w:val="auto"/>
                      <w:kern w:val="0"/>
                      <w:sz w:val="21"/>
                      <w:szCs w:val="21"/>
                      <w:highlight w:val="none"/>
                    </w:rPr>
                    <w:t>序号</w:t>
                  </w:r>
                </w:p>
              </w:tc>
              <w:tc>
                <w:tcPr>
                  <w:tcW w:w="2145" w:type="dxa"/>
                  <w:vAlign w:val="center"/>
                </w:tcPr>
                <w:p>
                  <w:pPr>
                    <w:spacing w:line="0" w:lineRule="atLeast"/>
                    <w:jc w:val="center"/>
                    <w:rPr>
                      <w:color w:val="auto"/>
                      <w:kern w:val="0"/>
                      <w:sz w:val="21"/>
                      <w:szCs w:val="21"/>
                      <w:highlight w:val="none"/>
                    </w:rPr>
                  </w:pPr>
                  <w:r>
                    <w:rPr>
                      <w:color w:val="auto"/>
                      <w:kern w:val="0"/>
                      <w:sz w:val="21"/>
                      <w:szCs w:val="21"/>
                      <w:highlight w:val="none"/>
                    </w:rPr>
                    <w:t>项目</w:t>
                  </w:r>
                </w:p>
              </w:tc>
              <w:tc>
                <w:tcPr>
                  <w:tcW w:w="6220" w:type="dxa"/>
                  <w:vAlign w:val="center"/>
                </w:tcPr>
                <w:p>
                  <w:pPr>
                    <w:spacing w:line="0" w:lineRule="atLeast"/>
                    <w:jc w:val="center"/>
                    <w:rPr>
                      <w:color w:val="auto"/>
                      <w:kern w:val="0"/>
                      <w:sz w:val="21"/>
                      <w:szCs w:val="21"/>
                      <w:highlight w:val="none"/>
                    </w:rPr>
                  </w:pPr>
                  <w:r>
                    <w:rPr>
                      <w:color w:val="auto"/>
                      <w:kern w:val="0"/>
                      <w:sz w:val="21"/>
                      <w:szCs w:val="21"/>
                      <w:highlight w:val="none"/>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pPr>
                    <w:spacing w:line="0" w:lineRule="atLeast"/>
                    <w:jc w:val="center"/>
                    <w:rPr>
                      <w:color w:val="auto"/>
                      <w:kern w:val="0"/>
                      <w:sz w:val="21"/>
                      <w:szCs w:val="21"/>
                      <w:highlight w:val="none"/>
                    </w:rPr>
                  </w:pPr>
                  <w:r>
                    <w:rPr>
                      <w:color w:val="auto"/>
                      <w:kern w:val="0"/>
                      <w:sz w:val="21"/>
                      <w:szCs w:val="21"/>
                      <w:highlight w:val="none"/>
                    </w:rPr>
                    <w:t>1</w:t>
                  </w:r>
                </w:p>
              </w:tc>
              <w:tc>
                <w:tcPr>
                  <w:tcW w:w="2145" w:type="dxa"/>
                  <w:vAlign w:val="center"/>
                </w:tcPr>
                <w:p>
                  <w:pPr>
                    <w:spacing w:line="0" w:lineRule="atLeast"/>
                    <w:jc w:val="center"/>
                    <w:rPr>
                      <w:color w:val="auto"/>
                      <w:kern w:val="0"/>
                      <w:sz w:val="21"/>
                      <w:szCs w:val="21"/>
                      <w:highlight w:val="none"/>
                    </w:rPr>
                  </w:pPr>
                  <w:r>
                    <w:rPr>
                      <w:color w:val="auto"/>
                      <w:kern w:val="0"/>
                      <w:sz w:val="21"/>
                      <w:szCs w:val="21"/>
                      <w:highlight w:val="none"/>
                    </w:rPr>
                    <w:t>单位名称</w:t>
                  </w:r>
                </w:p>
              </w:tc>
              <w:tc>
                <w:tcPr>
                  <w:tcW w:w="6220" w:type="dxa"/>
                  <w:vAlign w:val="center"/>
                </w:tcPr>
                <w:p>
                  <w:pPr>
                    <w:spacing w:line="0" w:lineRule="atLeast"/>
                    <w:jc w:val="center"/>
                    <w:rPr>
                      <w:rFonts w:hint="eastAsia" w:eastAsia="宋体"/>
                      <w:color w:val="auto"/>
                      <w:kern w:val="0"/>
                      <w:sz w:val="21"/>
                      <w:szCs w:val="21"/>
                      <w:highlight w:val="none"/>
                      <w:lang w:eastAsia="zh-CN"/>
                    </w:rPr>
                  </w:pPr>
                  <w:r>
                    <w:rPr>
                      <w:rFonts w:hint="eastAsia"/>
                      <w:color w:val="auto"/>
                      <w:kern w:val="0"/>
                      <w:sz w:val="21"/>
                      <w:szCs w:val="21"/>
                      <w:highlight w:val="none"/>
                      <w:lang w:eastAsia="zh-CN"/>
                    </w:rPr>
                    <w:t>河北透平风机制造有限公司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pPr>
                    <w:spacing w:line="0" w:lineRule="atLeast"/>
                    <w:jc w:val="center"/>
                    <w:rPr>
                      <w:color w:val="auto"/>
                      <w:kern w:val="0"/>
                      <w:sz w:val="21"/>
                      <w:szCs w:val="21"/>
                      <w:highlight w:val="none"/>
                    </w:rPr>
                  </w:pPr>
                  <w:r>
                    <w:rPr>
                      <w:color w:val="auto"/>
                      <w:kern w:val="0"/>
                      <w:sz w:val="21"/>
                      <w:szCs w:val="21"/>
                      <w:highlight w:val="none"/>
                    </w:rPr>
                    <w:t>2</w:t>
                  </w:r>
                </w:p>
              </w:tc>
              <w:tc>
                <w:tcPr>
                  <w:tcW w:w="2145" w:type="dxa"/>
                  <w:vAlign w:val="center"/>
                </w:tcPr>
                <w:p>
                  <w:pPr>
                    <w:spacing w:line="0" w:lineRule="atLeast"/>
                    <w:jc w:val="center"/>
                    <w:rPr>
                      <w:color w:val="auto"/>
                      <w:kern w:val="0"/>
                      <w:sz w:val="21"/>
                      <w:szCs w:val="21"/>
                      <w:highlight w:val="none"/>
                    </w:rPr>
                  </w:pPr>
                  <w:r>
                    <w:rPr>
                      <w:color w:val="auto"/>
                      <w:kern w:val="0"/>
                      <w:sz w:val="21"/>
                      <w:szCs w:val="21"/>
                      <w:highlight w:val="none"/>
                    </w:rPr>
                    <w:t>统一社会信用代码</w:t>
                  </w:r>
                </w:p>
              </w:tc>
              <w:tc>
                <w:tcPr>
                  <w:tcW w:w="6220" w:type="dxa"/>
                  <w:vAlign w:val="center"/>
                </w:tcPr>
                <w:p>
                  <w:pPr>
                    <w:spacing w:line="0" w:lineRule="atLeast"/>
                    <w:jc w:val="center"/>
                    <w:rPr>
                      <w:rFonts w:hint="default" w:eastAsia="宋体"/>
                      <w:color w:val="auto"/>
                      <w:kern w:val="0"/>
                      <w:sz w:val="21"/>
                      <w:szCs w:val="21"/>
                      <w:highlight w:val="none"/>
                      <w:lang w:val="en-US" w:eastAsia="zh-CN"/>
                    </w:rPr>
                  </w:pPr>
                  <w:r>
                    <w:rPr>
                      <w:rFonts w:hint="eastAsia"/>
                      <w:color w:val="auto"/>
                      <w:kern w:val="24"/>
                      <w:sz w:val="21"/>
                      <w:szCs w:val="21"/>
                      <w:highlight w:val="none"/>
                      <w:lang w:eastAsia="zh-CN"/>
                    </w:rPr>
                    <w:t>91130283MA07KFYY8Y</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pPr>
                    <w:spacing w:line="0" w:lineRule="atLeast"/>
                    <w:jc w:val="center"/>
                    <w:rPr>
                      <w:color w:val="auto"/>
                      <w:kern w:val="0"/>
                      <w:sz w:val="21"/>
                      <w:szCs w:val="21"/>
                      <w:highlight w:val="none"/>
                    </w:rPr>
                  </w:pPr>
                  <w:r>
                    <w:rPr>
                      <w:color w:val="auto"/>
                      <w:kern w:val="0"/>
                      <w:sz w:val="21"/>
                      <w:szCs w:val="21"/>
                      <w:highlight w:val="none"/>
                    </w:rPr>
                    <w:t>3</w:t>
                  </w:r>
                </w:p>
              </w:tc>
              <w:tc>
                <w:tcPr>
                  <w:tcW w:w="2145" w:type="dxa"/>
                  <w:vAlign w:val="center"/>
                </w:tcPr>
                <w:p>
                  <w:pPr>
                    <w:spacing w:line="0" w:lineRule="atLeast"/>
                    <w:jc w:val="center"/>
                    <w:rPr>
                      <w:color w:val="auto"/>
                      <w:kern w:val="0"/>
                      <w:sz w:val="21"/>
                      <w:szCs w:val="21"/>
                      <w:highlight w:val="none"/>
                    </w:rPr>
                  </w:pPr>
                  <w:r>
                    <w:rPr>
                      <w:color w:val="auto"/>
                      <w:kern w:val="0"/>
                      <w:sz w:val="21"/>
                      <w:szCs w:val="21"/>
                      <w:highlight w:val="none"/>
                    </w:rPr>
                    <w:t>法定代表人</w:t>
                  </w:r>
                </w:p>
              </w:tc>
              <w:tc>
                <w:tcPr>
                  <w:tcW w:w="6220" w:type="dxa"/>
                  <w:vAlign w:val="center"/>
                </w:tcPr>
                <w:p>
                  <w:pPr>
                    <w:spacing w:line="0" w:lineRule="atLeast"/>
                    <w:jc w:val="center"/>
                    <w:rPr>
                      <w:color w:val="auto"/>
                      <w:kern w:val="0"/>
                      <w:sz w:val="21"/>
                      <w:szCs w:val="21"/>
                      <w:highlight w:val="none"/>
                    </w:rPr>
                  </w:pPr>
                  <w:r>
                    <w:rPr>
                      <w:rFonts w:hint="eastAsia"/>
                      <w:color w:val="auto"/>
                      <w:kern w:val="0"/>
                      <w:sz w:val="21"/>
                      <w:szCs w:val="21"/>
                      <w:highlight w:val="none"/>
                      <w:lang w:eastAsia="zh-CN"/>
                    </w:rPr>
                    <w:t>贾建元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pPr>
                    <w:spacing w:line="0" w:lineRule="atLeast"/>
                    <w:jc w:val="center"/>
                    <w:rPr>
                      <w:color w:val="auto"/>
                      <w:kern w:val="0"/>
                      <w:sz w:val="21"/>
                      <w:szCs w:val="21"/>
                      <w:highlight w:val="none"/>
                    </w:rPr>
                  </w:pPr>
                  <w:r>
                    <w:rPr>
                      <w:color w:val="auto"/>
                      <w:kern w:val="0"/>
                      <w:sz w:val="21"/>
                      <w:szCs w:val="21"/>
                      <w:highlight w:val="none"/>
                    </w:rPr>
                    <w:t>4</w:t>
                  </w:r>
                </w:p>
              </w:tc>
              <w:tc>
                <w:tcPr>
                  <w:tcW w:w="2145" w:type="dxa"/>
                  <w:vAlign w:val="center"/>
                </w:tcPr>
                <w:p>
                  <w:pPr>
                    <w:spacing w:line="0" w:lineRule="atLeast"/>
                    <w:jc w:val="center"/>
                    <w:rPr>
                      <w:color w:val="auto"/>
                      <w:kern w:val="0"/>
                      <w:sz w:val="21"/>
                      <w:szCs w:val="21"/>
                      <w:highlight w:val="none"/>
                    </w:rPr>
                  </w:pPr>
                  <w:r>
                    <w:rPr>
                      <w:color w:val="auto"/>
                      <w:kern w:val="0"/>
                      <w:sz w:val="21"/>
                      <w:szCs w:val="21"/>
                      <w:highlight w:val="none"/>
                    </w:rPr>
                    <w:t>地址</w:t>
                  </w:r>
                </w:p>
              </w:tc>
              <w:tc>
                <w:tcPr>
                  <w:tcW w:w="6220" w:type="dxa"/>
                  <w:vAlign w:val="center"/>
                </w:tcPr>
                <w:p>
                  <w:pPr>
                    <w:spacing w:line="0" w:lineRule="atLeast"/>
                    <w:jc w:val="center"/>
                    <w:rPr>
                      <w:rFonts w:hint="eastAsia" w:eastAsia="宋体"/>
                      <w:color w:val="auto"/>
                      <w:kern w:val="0"/>
                      <w:sz w:val="21"/>
                      <w:szCs w:val="21"/>
                      <w:highlight w:val="none"/>
                      <w:lang w:eastAsia="zh-CN"/>
                    </w:rPr>
                  </w:pPr>
                  <w:r>
                    <w:rPr>
                      <w:rFonts w:hint="eastAsia"/>
                      <w:color w:val="auto"/>
                      <w:kern w:val="24"/>
                      <w:sz w:val="21"/>
                      <w:szCs w:val="21"/>
                      <w:highlight w:val="none"/>
                      <w:lang w:eastAsia="zh-CN"/>
                    </w:rPr>
                    <w:t>河北迁安经济开发区纬九街南侧、纬十街北侧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pPr>
                    <w:spacing w:line="0" w:lineRule="atLeast"/>
                    <w:jc w:val="center"/>
                    <w:rPr>
                      <w:color w:val="auto"/>
                      <w:kern w:val="0"/>
                      <w:sz w:val="21"/>
                      <w:szCs w:val="21"/>
                      <w:highlight w:val="none"/>
                    </w:rPr>
                  </w:pPr>
                  <w:r>
                    <w:rPr>
                      <w:color w:val="auto"/>
                      <w:kern w:val="0"/>
                      <w:sz w:val="21"/>
                      <w:szCs w:val="21"/>
                      <w:highlight w:val="none"/>
                    </w:rPr>
                    <w:t>5</w:t>
                  </w:r>
                </w:p>
              </w:tc>
              <w:tc>
                <w:tcPr>
                  <w:tcW w:w="2145" w:type="dxa"/>
                  <w:vAlign w:val="center"/>
                </w:tcPr>
                <w:p>
                  <w:pPr>
                    <w:spacing w:line="0" w:lineRule="atLeast"/>
                    <w:jc w:val="center"/>
                    <w:rPr>
                      <w:color w:val="auto"/>
                      <w:kern w:val="0"/>
                      <w:sz w:val="21"/>
                      <w:szCs w:val="21"/>
                      <w:highlight w:val="none"/>
                    </w:rPr>
                  </w:pPr>
                  <w:r>
                    <w:rPr>
                      <w:color w:val="auto"/>
                      <w:kern w:val="0"/>
                      <w:sz w:val="21"/>
                      <w:szCs w:val="21"/>
                      <w:highlight w:val="none"/>
                    </w:rPr>
                    <w:t>联系人及联系方式</w:t>
                  </w:r>
                </w:p>
              </w:tc>
              <w:tc>
                <w:tcPr>
                  <w:tcW w:w="6220" w:type="dxa"/>
                  <w:vAlign w:val="center"/>
                </w:tcPr>
                <w:p>
                  <w:pPr>
                    <w:spacing w:line="0" w:lineRule="atLeast"/>
                    <w:jc w:val="center"/>
                    <w:rPr>
                      <w:color w:val="auto"/>
                      <w:kern w:val="0"/>
                      <w:sz w:val="21"/>
                      <w:szCs w:val="21"/>
                      <w:highlight w:val="none"/>
                    </w:rPr>
                  </w:pPr>
                  <w:r>
                    <w:rPr>
                      <w:rFonts w:hint="eastAsia"/>
                      <w:color w:val="auto"/>
                      <w:kern w:val="24"/>
                      <w:sz w:val="21"/>
                      <w:szCs w:val="21"/>
                      <w:highlight w:val="none"/>
                      <w:lang w:eastAsia="zh-CN"/>
                    </w:rPr>
                    <w:t>杨桂民15127528008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0" w:hRule="atLeast"/>
                <w:jc w:val="center"/>
              </w:trPr>
              <w:tc>
                <w:tcPr>
                  <w:tcW w:w="790" w:type="dxa"/>
                  <w:vAlign w:val="center"/>
                </w:tcPr>
                <w:p>
                  <w:pPr>
                    <w:spacing w:line="0" w:lineRule="atLeast"/>
                    <w:jc w:val="center"/>
                    <w:rPr>
                      <w:color w:val="auto"/>
                      <w:kern w:val="0"/>
                      <w:sz w:val="21"/>
                      <w:szCs w:val="21"/>
                      <w:highlight w:val="none"/>
                    </w:rPr>
                  </w:pPr>
                  <w:r>
                    <w:rPr>
                      <w:color w:val="auto"/>
                      <w:kern w:val="0"/>
                      <w:sz w:val="21"/>
                      <w:szCs w:val="21"/>
                      <w:highlight w:val="none"/>
                    </w:rPr>
                    <w:t>6</w:t>
                  </w:r>
                </w:p>
              </w:tc>
              <w:tc>
                <w:tcPr>
                  <w:tcW w:w="2145" w:type="dxa"/>
                  <w:vAlign w:val="center"/>
                </w:tcPr>
                <w:p>
                  <w:pPr>
                    <w:spacing w:line="0" w:lineRule="atLeast"/>
                    <w:jc w:val="center"/>
                    <w:rPr>
                      <w:color w:val="auto"/>
                      <w:kern w:val="0"/>
                      <w:sz w:val="21"/>
                      <w:szCs w:val="21"/>
                      <w:highlight w:val="none"/>
                    </w:rPr>
                  </w:pPr>
                  <w:r>
                    <w:rPr>
                      <w:color w:val="auto"/>
                      <w:kern w:val="0"/>
                      <w:sz w:val="21"/>
                      <w:szCs w:val="21"/>
                      <w:highlight w:val="none"/>
                    </w:rPr>
                    <w:t>项目的主要内容</w:t>
                  </w:r>
                </w:p>
              </w:tc>
              <w:tc>
                <w:tcPr>
                  <w:tcW w:w="6220" w:type="dxa"/>
                  <w:vAlign w:val="center"/>
                </w:tcPr>
                <w:p>
                  <w:pPr>
                    <w:spacing w:line="0" w:lineRule="atLeast"/>
                    <w:jc w:val="center"/>
                    <w:rPr>
                      <w:color w:val="auto"/>
                      <w:kern w:val="0"/>
                      <w:sz w:val="21"/>
                      <w:szCs w:val="21"/>
                      <w:highlight w:val="none"/>
                    </w:rPr>
                  </w:pPr>
                  <w:r>
                    <w:rPr>
                      <w:rFonts w:hint="eastAsia"/>
                      <w:color w:val="auto"/>
                      <w:sz w:val="21"/>
                      <w:szCs w:val="21"/>
                      <w:highlight w:val="none"/>
                    </w:rPr>
                    <w:t>总占地面积13161.3m²（合19.74亩），项目利用原有厂房对生产线进行技改升级。主要新增数控加工中心、车床、铣床、钻床、锯床、磨床、自制抛光机、螺杆空压机、</w:t>
                  </w:r>
                  <w:r>
                    <w:rPr>
                      <w:rFonts w:hint="eastAsia"/>
                      <w:color w:val="auto"/>
                      <w:sz w:val="21"/>
                      <w:szCs w:val="21"/>
                      <w:highlight w:val="none"/>
                      <w:lang w:eastAsia="zh-CN"/>
                    </w:rPr>
                    <w:t>镗</w:t>
                  </w:r>
                  <w:r>
                    <w:rPr>
                      <w:rFonts w:hint="eastAsia"/>
                      <w:color w:val="auto"/>
                      <w:sz w:val="21"/>
                      <w:szCs w:val="21"/>
                      <w:highlight w:val="none"/>
                    </w:rPr>
                    <w:t>床、数控火焰切割机、卷板机、箱</w:t>
                  </w:r>
                  <w:r>
                    <w:rPr>
                      <w:rFonts w:hint="eastAsia"/>
                      <w:color w:val="auto"/>
                      <w:sz w:val="21"/>
                      <w:szCs w:val="21"/>
                      <w:highlight w:val="none"/>
                      <w:lang w:eastAsia="zh-CN"/>
                    </w:rPr>
                    <w:t>型</w:t>
                  </w:r>
                  <w:r>
                    <w:rPr>
                      <w:rFonts w:hint="eastAsia"/>
                      <w:color w:val="auto"/>
                      <w:sz w:val="21"/>
                      <w:szCs w:val="21"/>
                      <w:highlight w:val="none"/>
                    </w:rPr>
                    <w:t>电阻炉、自制圆形电阻炉等其他辅助生产设备共26台（套）。项目建成后，达到年加工叶片80台（套）、风机备件130 台（套），年检修风机100台（套）。</w:t>
                  </w:r>
                  <w:r>
                    <w:rPr>
                      <w:rFonts w:hint="eastAsia"/>
                      <w:color w:val="auto"/>
                      <w:sz w:val="21"/>
                      <w:szCs w:val="21"/>
                      <w:highlight w:val="none"/>
                      <w:lang w:val="en-US" w:eastAsia="zh-CN"/>
                    </w:rPr>
                    <w:t>项目建成后，产能不变。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pPr>
                    <w:spacing w:line="0" w:lineRule="atLeast"/>
                    <w:jc w:val="center"/>
                    <w:rPr>
                      <w:color w:val="auto"/>
                      <w:kern w:val="0"/>
                      <w:sz w:val="21"/>
                      <w:szCs w:val="21"/>
                      <w:highlight w:val="none"/>
                    </w:rPr>
                  </w:pPr>
                  <w:r>
                    <w:rPr>
                      <w:color w:val="auto"/>
                      <w:kern w:val="0"/>
                      <w:sz w:val="21"/>
                      <w:szCs w:val="21"/>
                      <w:highlight w:val="none"/>
                    </w:rPr>
                    <w:t>7</w:t>
                  </w:r>
                </w:p>
              </w:tc>
              <w:tc>
                <w:tcPr>
                  <w:tcW w:w="2145" w:type="dxa"/>
                  <w:vAlign w:val="center"/>
                </w:tcPr>
                <w:p>
                  <w:pPr>
                    <w:spacing w:line="0" w:lineRule="atLeast"/>
                    <w:jc w:val="center"/>
                    <w:rPr>
                      <w:color w:val="auto"/>
                      <w:kern w:val="0"/>
                      <w:sz w:val="21"/>
                      <w:szCs w:val="21"/>
                      <w:highlight w:val="none"/>
                    </w:rPr>
                  </w:pPr>
                  <w:r>
                    <w:rPr>
                      <w:color w:val="auto"/>
                      <w:kern w:val="0"/>
                      <w:sz w:val="21"/>
                      <w:szCs w:val="21"/>
                      <w:highlight w:val="none"/>
                    </w:rPr>
                    <w:t>产品及规模</w:t>
                  </w:r>
                </w:p>
              </w:tc>
              <w:tc>
                <w:tcPr>
                  <w:tcW w:w="6220" w:type="dxa"/>
                  <w:vAlign w:val="center"/>
                </w:tcPr>
                <w:p>
                  <w:pPr>
                    <w:spacing w:line="0" w:lineRule="atLeast"/>
                    <w:jc w:val="center"/>
                    <w:rPr>
                      <w:color w:val="auto"/>
                      <w:kern w:val="0"/>
                      <w:sz w:val="21"/>
                      <w:szCs w:val="21"/>
                      <w:highlight w:val="none"/>
                    </w:rPr>
                  </w:pPr>
                  <w:r>
                    <w:rPr>
                      <w:rFonts w:hint="eastAsia"/>
                      <w:color w:val="auto"/>
                      <w:sz w:val="21"/>
                      <w:szCs w:val="21"/>
                      <w:highlight w:val="none"/>
                    </w:rPr>
                    <w:t>年加工叶片80台（套）、风机备件130 台（套），年检修风机100台（套）</w:t>
                  </w:r>
                  <w:r>
                    <w:rPr>
                      <w:rFonts w:hint="eastAsia" w:ascii="宋体" w:hAnsi="宋体"/>
                      <w:color w:val="auto"/>
                      <w:kern w:val="24"/>
                      <w:sz w:val="21"/>
                      <w:szCs w:val="21"/>
                      <w:highlight w:val="none"/>
                    </w:rPr>
                    <w:t>，</w:t>
                  </w:r>
                  <w:r>
                    <w:rPr>
                      <w:rFonts w:hint="eastAsia" w:ascii="宋体" w:hAnsi="宋体"/>
                      <w:color w:val="auto"/>
                      <w:kern w:val="24"/>
                      <w:sz w:val="21"/>
                      <w:szCs w:val="21"/>
                      <w:highlight w:val="none"/>
                      <w:lang w:eastAsia="zh-CN"/>
                    </w:rPr>
                    <w:t>无新增产能</w:t>
                  </w:r>
                </w:p>
              </w:tc>
            </w:tr>
          </w:tbl>
          <w:p>
            <w:pPr>
              <w:widowControl/>
              <w:adjustRightInd w:val="0"/>
              <w:snapToGrid w:val="0"/>
              <w:spacing w:line="480" w:lineRule="exact"/>
              <w:ind w:firstLine="480" w:firstLineChars="200"/>
              <w:rPr>
                <w:bCs/>
                <w:color w:val="auto"/>
                <w:sz w:val="24"/>
                <w:highlight w:val="none"/>
              </w:rPr>
            </w:pPr>
            <w:r>
              <w:rPr>
                <w:bCs/>
                <w:color w:val="auto"/>
                <w:sz w:val="24"/>
                <w:highlight w:val="none"/>
              </w:rPr>
              <w:t>2、排污信息</w:t>
            </w:r>
          </w:p>
          <w:p>
            <w:pPr>
              <w:widowControl/>
              <w:adjustRightInd w:val="0"/>
              <w:snapToGrid w:val="0"/>
              <w:spacing w:line="480" w:lineRule="exact"/>
              <w:ind w:firstLine="480" w:firstLineChars="200"/>
              <w:rPr>
                <w:bCs/>
                <w:color w:val="auto"/>
                <w:sz w:val="24"/>
                <w:highlight w:val="none"/>
              </w:rPr>
            </w:pPr>
            <w:r>
              <w:rPr>
                <w:rFonts w:hint="eastAsia"/>
                <w:bCs/>
                <w:color w:val="auto"/>
                <w:sz w:val="24"/>
                <w:highlight w:val="none"/>
              </w:rPr>
              <w:t>①</w:t>
            </w:r>
            <w:r>
              <w:rPr>
                <w:bCs/>
                <w:color w:val="auto"/>
                <w:sz w:val="24"/>
                <w:highlight w:val="none"/>
              </w:rPr>
              <w:t>主要污染物及特征污染物的名称、排放方式、排放口数量和分布情况、排放浓度和总量、超标情况，以及执行的污染物排放标准、核定的排放总量；</w:t>
            </w:r>
          </w:p>
          <w:p>
            <w:pPr>
              <w:widowControl/>
              <w:adjustRightInd w:val="0"/>
              <w:snapToGrid w:val="0"/>
              <w:spacing w:line="480" w:lineRule="exact"/>
              <w:ind w:firstLine="480" w:firstLineChars="200"/>
              <w:rPr>
                <w:bCs/>
                <w:color w:val="auto"/>
                <w:sz w:val="24"/>
                <w:highlight w:val="none"/>
              </w:rPr>
            </w:pPr>
            <w:r>
              <w:rPr>
                <w:rFonts w:hint="eastAsia"/>
                <w:bCs/>
                <w:color w:val="auto"/>
                <w:sz w:val="24"/>
                <w:highlight w:val="none"/>
              </w:rPr>
              <w:t>②</w:t>
            </w:r>
            <w:r>
              <w:rPr>
                <w:bCs/>
                <w:color w:val="auto"/>
                <w:sz w:val="24"/>
                <w:highlight w:val="none"/>
              </w:rPr>
              <w:t>防治污染设施的建设和运行情况；</w:t>
            </w:r>
          </w:p>
          <w:p>
            <w:pPr>
              <w:widowControl/>
              <w:adjustRightInd w:val="0"/>
              <w:snapToGrid w:val="0"/>
              <w:spacing w:line="480" w:lineRule="exact"/>
              <w:ind w:firstLine="480" w:firstLineChars="200"/>
              <w:rPr>
                <w:bCs/>
                <w:color w:val="auto"/>
                <w:sz w:val="24"/>
                <w:highlight w:val="none"/>
              </w:rPr>
            </w:pPr>
            <w:r>
              <w:rPr>
                <w:rFonts w:hint="eastAsia"/>
                <w:bCs/>
                <w:color w:val="auto"/>
                <w:sz w:val="24"/>
                <w:highlight w:val="none"/>
              </w:rPr>
              <w:t>③</w:t>
            </w:r>
            <w:r>
              <w:rPr>
                <w:bCs/>
                <w:color w:val="auto"/>
                <w:sz w:val="24"/>
                <w:highlight w:val="none"/>
              </w:rPr>
              <w:t>建设项目环境影响评价及其他环境保护许可情况；</w:t>
            </w:r>
          </w:p>
          <w:p>
            <w:pPr>
              <w:widowControl/>
              <w:adjustRightInd w:val="0"/>
              <w:snapToGrid w:val="0"/>
              <w:spacing w:line="480" w:lineRule="exact"/>
              <w:ind w:firstLine="480" w:firstLineChars="200"/>
              <w:rPr>
                <w:bCs/>
                <w:color w:val="auto"/>
                <w:sz w:val="24"/>
                <w:highlight w:val="none"/>
              </w:rPr>
            </w:pPr>
            <w:r>
              <w:rPr>
                <w:rFonts w:hint="eastAsia"/>
                <w:bCs/>
                <w:color w:val="auto"/>
                <w:sz w:val="24"/>
                <w:highlight w:val="none"/>
              </w:rPr>
              <w:t>④</w:t>
            </w:r>
            <w:r>
              <w:rPr>
                <w:bCs/>
                <w:color w:val="auto"/>
                <w:sz w:val="24"/>
                <w:highlight w:val="none"/>
              </w:rPr>
              <w:t>他应当公开的环境信息。</w:t>
            </w:r>
          </w:p>
          <w:p>
            <w:pPr>
              <w:widowControl/>
              <w:adjustRightInd w:val="0"/>
              <w:snapToGrid w:val="0"/>
              <w:spacing w:line="480" w:lineRule="exact"/>
              <w:ind w:firstLine="480" w:firstLineChars="200"/>
              <w:rPr>
                <w:bCs/>
                <w:color w:val="auto"/>
                <w:sz w:val="24"/>
                <w:highlight w:val="none"/>
              </w:rPr>
            </w:pPr>
            <w:r>
              <w:rPr>
                <w:bCs/>
                <w:color w:val="auto"/>
                <w:sz w:val="24"/>
                <w:highlight w:val="none"/>
              </w:rPr>
              <w:t>如若公司的环境信息有新生成或者发生变更情形，应在环境信息生成或者变更之日起三十日内公开。环境保护主管部门应当宣传和引导公众监督企业事业单位环境信息公开工作。</w:t>
            </w:r>
          </w:p>
          <w:p>
            <w:pPr>
              <w:spacing w:line="360" w:lineRule="auto"/>
              <w:ind w:firstLine="482" w:firstLineChars="200"/>
              <w:rPr>
                <w:b/>
                <w:color w:val="auto"/>
                <w:sz w:val="24"/>
                <w:highlight w:val="none"/>
              </w:rPr>
            </w:pPr>
            <w:r>
              <w:rPr>
                <w:rFonts w:hint="eastAsia"/>
                <w:b/>
                <w:color w:val="auto"/>
                <w:sz w:val="24"/>
                <w:highlight w:val="none"/>
              </w:rPr>
              <w:t>（1</w:t>
            </w:r>
            <w:r>
              <w:rPr>
                <w:rFonts w:hint="eastAsia"/>
                <w:b/>
                <w:color w:val="auto"/>
                <w:sz w:val="24"/>
                <w:highlight w:val="none"/>
                <w:lang w:val="en-US" w:eastAsia="zh-CN"/>
              </w:rPr>
              <w:t>1</w:t>
            </w:r>
            <w:r>
              <w:rPr>
                <w:rFonts w:hint="eastAsia"/>
                <w:b/>
                <w:color w:val="auto"/>
                <w:sz w:val="24"/>
                <w:highlight w:val="none"/>
              </w:rPr>
              <w:t>）</w:t>
            </w:r>
            <w:r>
              <w:rPr>
                <w:b/>
                <w:color w:val="auto"/>
                <w:sz w:val="24"/>
                <w:highlight w:val="none"/>
              </w:rPr>
              <w:t>建设项目污染物排放清单</w:t>
            </w:r>
          </w:p>
          <w:p>
            <w:pPr>
              <w:spacing w:line="300" w:lineRule="auto"/>
              <w:ind w:firstLine="480" w:firstLineChars="200"/>
              <w:rPr>
                <w:color w:val="auto"/>
                <w:highlight w:val="none"/>
              </w:rPr>
            </w:pPr>
            <w:r>
              <w:rPr>
                <w:color w:val="auto"/>
                <w:sz w:val="24"/>
                <w:highlight w:val="none"/>
              </w:rPr>
              <w:t>污染物排放清单见表</w:t>
            </w:r>
            <w:r>
              <w:rPr>
                <w:rFonts w:hint="eastAsia"/>
                <w:color w:val="auto"/>
                <w:sz w:val="24"/>
                <w:highlight w:val="none"/>
                <w:lang w:val="en-US" w:eastAsia="zh-CN"/>
              </w:rPr>
              <w:t>45</w:t>
            </w:r>
            <w:r>
              <w:rPr>
                <w:color w:val="auto"/>
                <w:sz w:val="24"/>
                <w:highlight w:val="none"/>
              </w:rPr>
              <w:t>。</w:t>
            </w:r>
          </w:p>
          <w:p>
            <w:pPr>
              <w:spacing w:line="300" w:lineRule="auto"/>
              <w:jc w:val="center"/>
              <w:rPr>
                <w:b/>
                <w:bCs/>
                <w:color w:val="auto"/>
                <w:sz w:val="24"/>
                <w:highlight w:val="none"/>
              </w:rPr>
            </w:pPr>
            <w:r>
              <w:rPr>
                <w:b/>
                <w:bCs/>
                <w:color w:val="auto"/>
                <w:sz w:val="24"/>
                <w:highlight w:val="none"/>
              </w:rPr>
              <w:t>表</w:t>
            </w:r>
            <w:r>
              <w:rPr>
                <w:rFonts w:hint="eastAsia"/>
                <w:b/>
                <w:bCs/>
                <w:color w:val="auto"/>
                <w:sz w:val="24"/>
                <w:highlight w:val="none"/>
                <w:lang w:val="en-US" w:eastAsia="zh-CN"/>
              </w:rPr>
              <w:t>45</w:t>
            </w:r>
            <w:r>
              <w:rPr>
                <w:b/>
                <w:bCs/>
                <w:color w:val="auto"/>
                <w:sz w:val="24"/>
                <w:highlight w:val="none"/>
              </w:rPr>
              <w:t xml:space="preserve">    污染物排放清单表</w:t>
            </w:r>
          </w:p>
          <w:tbl>
            <w:tblPr>
              <w:tblStyle w:val="31"/>
              <w:tblW w:w="922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7"/>
              <w:gridCol w:w="2"/>
              <w:gridCol w:w="964"/>
              <w:gridCol w:w="880"/>
              <w:gridCol w:w="2606"/>
              <w:gridCol w:w="550"/>
              <w:gridCol w:w="739"/>
              <w:gridCol w:w="785"/>
              <w:gridCol w:w="522"/>
              <w:gridCol w:w="18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8" w:hRule="atLeast"/>
                <w:tblHeader/>
                <w:jc w:val="center"/>
              </w:trPr>
              <w:tc>
                <w:tcPr>
                  <w:tcW w:w="317"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项目</w:t>
                  </w:r>
                </w:p>
              </w:tc>
              <w:tc>
                <w:tcPr>
                  <w:tcW w:w="966" w:type="dxa"/>
                  <w:gridSpan w:val="2"/>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产污</w:t>
                  </w:r>
                </w:p>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环节</w:t>
                  </w:r>
                </w:p>
              </w:tc>
              <w:tc>
                <w:tcPr>
                  <w:tcW w:w="880"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污染物种类</w:t>
                  </w:r>
                </w:p>
              </w:tc>
              <w:tc>
                <w:tcPr>
                  <w:tcW w:w="2606"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环保治理</w:t>
                  </w:r>
                </w:p>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措施及主要运行参数</w:t>
                  </w:r>
                </w:p>
              </w:tc>
              <w:tc>
                <w:tcPr>
                  <w:tcW w:w="550"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排放浓度</w:t>
                  </w:r>
                </w:p>
              </w:tc>
              <w:tc>
                <w:tcPr>
                  <w:tcW w:w="739"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总量指标t/a</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污染物排放的分时段要求</w:t>
                  </w:r>
                </w:p>
              </w:tc>
              <w:tc>
                <w:tcPr>
                  <w:tcW w:w="522"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排污口信息</w:t>
                  </w:r>
                </w:p>
              </w:tc>
              <w:tc>
                <w:tcPr>
                  <w:tcW w:w="1864"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执行标准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317" w:type="dxa"/>
                  <w:vMerge w:val="restart"/>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废气</w:t>
                  </w:r>
                </w:p>
              </w:tc>
              <w:tc>
                <w:tcPr>
                  <w:tcW w:w="966" w:type="dxa"/>
                  <w:gridSpan w:val="2"/>
                  <w:tcMar>
                    <w:left w:w="28" w:type="dxa"/>
                    <w:right w:w="28" w:type="dxa"/>
                  </w:tcMar>
                  <w:vAlign w:val="center"/>
                </w:tcPr>
                <w:p>
                  <w:pPr>
                    <w:tabs>
                      <w:tab w:val="left" w:pos="2604"/>
                    </w:tabs>
                    <w:spacing w:line="0" w:lineRule="atLeast"/>
                    <w:jc w:val="center"/>
                    <w:rPr>
                      <w:rFonts w:hint="eastAsia"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数控火焰切割机</w:t>
                  </w:r>
                </w:p>
              </w:tc>
              <w:tc>
                <w:tcPr>
                  <w:tcW w:w="880" w:type="dxa"/>
                  <w:tcMar>
                    <w:left w:w="28" w:type="dxa"/>
                    <w:right w:w="28" w:type="dxa"/>
                  </w:tcMar>
                  <w:vAlign w:val="center"/>
                </w:tcPr>
                <w:p>
                  <w:pPr>
                    <w:tabs>
                      <w:tab w:val="left" w:pos="2604"/>
                    </w:tabs>
                    <w:spacing w:line="0" w:lineRule="atLeast"/>
                    <w:jc w:val="center"/>
                    <w:rPr>
                      <w:rFonts w:hint="eastAsia" w:eastAsia="宋体"/>
                      <w:color w:val="auto"/>
                      <w:sz w:val="21"/>
                      <w:szCs w:val="21"/>
                      <w:highlight w:val="none"/>
                      <w:lang w:eastAsia="zh-CN"/>
                    </w:rPr>
                  </w:pPr>
                  <w:r>
                    <w:rPr>
                      <w:rFonts w:hint="eastAsia"/>
                      <w:color w:val="auto"/>
                      <w:sz w:val="21"/>
                      <w:szCs w:val="21"/>
                      <w:highlight w:val="none"/>
                      <w:lang w:eastAsia="zh-CN"/>
                    </w:rPr>
                    <w:t>颗粒物</w:t>
                  </w:r>
                </w:p>
              </w:tc>
              <w:tc>
                <w:tcPr>
                  <w:tcW w:w="2606" w:type="dxa"/>
                  <w:tcMar>
                    <w:left w:w="28" w:type="dxa"/>
                    <w:right w:w="28" w:type="dxa"/>
                  </w:tcMar>
                  <w:vAlign w:val="center"/>
                </w:tcPr>
                <w:p>
                  <w:pPr>
                    <w:widowControl/>
                    <w:tabs>
                      <w:tab w:val="left" w:pos="2951"/>
                    </w:tabs>
                    <w:jc w:val="center"/>
                    <w:rPr>
                      <w:rFonts w:hint="default" w:ascii="Times New Roman" w:hAnsi="Times New Roman" w:cs="Times New Roman"/>
                      <w:color w:val="auto"/>
                      <w:sz w:val="21"/>
                      <w:szCs w:val="21"/>
                      <w:highlight w:val="none"/>
                      <w:lang w:val="en-US" w:eastAsia="zh-CN" w:bidi="he-IL"/>
                    </w:rPr>
                  </w:pPr>
                  <w:r>
                    <w:rPr>
                      <w:rFonts w:hint="eastAsia" w:cs="Times New Roman"/>
                      <w:color w:val="auto"/>
                      <w:sz w:val="21"/>
                      <w:szCs w:val="21"/>
                      <w:highlight w:val="none"/>
                      <w:lang w:val="en-US" w:eastAsia="zh-CN"/>
                    </w:rPr>
                    <w:t>脉冲</w:t>
                  </w:r>
                  <w:r>
                    <w:rPr>
                      <w:rFonts w:hint="default" w:ascii="Times New Roman" w:hAnsi="Times New Roman" w:cs="Times New Roman"/>
                      <w:color w:val="auto"/>
                      <w:sz w:val="21"/>
                      <w:szCs w:val="21"/>
                      <w:highlight w:val="none"/>
                      <w:lang w:eastAsia="zh-CN"/>
                    </w:rPr>
                    <w:t>布袋除尘器</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1根15m高</w:t>
                  </w:r>
                  <w:r>
                    <w:rPr>
                      <w:rFonts w:hint="default" w:ascii="Times New Roman" w:hAnsi="Times New Roman" w:cs="Times New Roman"/>
                      <w:color w:val="auto"/>
                      <w:sz w:val="21"/>
                      <w:szCs w:val="21"/>
                      <w:highlight w:val="none"/>
                      <w:lang w:val="en-US" w:eastAsia="zh-CN"/>
                    </w:rPr>
                    <w:t>排气筒</w:t>
                  </w:r>
                </w:p>
              </w:tc>
              <w:tc>
                <w:tcPr>
                  <w:tcW w:w="550" w:type="dxa"/>
                  <w:tcMar>
                    <w:left w:w="28" w:type="dxa"/>
                    <w:right w:w="28" w:type="dxa"/>
                  </w:tcMar>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2.8</w:t>
                  </w:r>
                </w:p>
              </w:tc>
              <w:tc>
                <w:tcPr>
                  <w:tcW w:w="739" w:type="dxa"/>
                  <w:tcMar>
                    <w:left w:w="28" w:type="dxa"/>
                    <w:right w:w="28" w:type="dxa"/>
                  </w:tcMar>
                  <w:vAlign w:val="center"/>
                </w:tcPr>
                <w:p>
                  <w:pPr>
                    <w:autoSpaceDE w:val="0"/>
                    <w:autoSpaceDN w:val="0"/>
                    <w:adjustRightInd w:val="0"/>
                    <w:spacing w:line="0" w:lineRule="atLeast"/>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0.00224</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rFonts w:hint="eastAsia"/>
                      <w:snapToGrid w:val="0"/>
                      <w:color w:val="auto"/>
                      <w:sz w:val="21"/>
                      <w:szCs w:val="21"/>
                      <w:highlight w:val="none"/>
                    </w:rPr>
                    <w:t>—</w:t>
                  </w:r>
                </w:p>
              </w:tc>
              <w:tc>
                <w:tcPr>
                  <w:tcW w:w="522" w:type="dxa"/>
                  <w:vMerge w:val="restart"/>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rFonts w:hint="default"/>
                      <w:snapToGrid w:val="0"/>
                      <w:color w:val="auto"/>
                      <w:sz w:val="21"/>
                      <w:szCs w:val="21"/>
                      <w:highlight w:val="none"/>
                    </w:rPr>
                    <w:t>15米排气筒</w:t>
                  </w:r>
                  <w:r>
                    <w:rPr>
                      <w:rFonts w:hint="default"/>
                      <w:snapToGrid w:val="0"/>
                      <w:color w:val="auto"/>
                      <w:sz w:val="21"/>
                      <w:szCs w:val="21"/>
                      <w:highlight w:val="none"/>
                      <w:lang w:eastAsia="zh-CN"/>
                    </w:rPr>
                    <w:t>；</w:t>
                  </w:r>
                  <w:r>
                    <w:rPr>
                      <w:rFonts w:hint="default"/>
                      <w:snapToGrid w:val="0"/>
                      <w:color w:val="auto"/>
                      <w:sz w:val="21"/>
                      <w:szCs w:val="21"/>
                      <w:highlight w:val="none"/>
                    </w:rPr>
                    <w:t>设置环保标志；便于采样；便于公众监督</w:t>
                  </w:r>
                </w:p>
              </w:tc>
              <w:tc>
                <w:tcPr>
                  <w:tcW w:w="1864" w:type="dxa"/>
                  <w:vMerge w:val="restart"/>
                  <w:tcMar>
                    <w:left w:w="28" w:type="dxa"/>
                    <w:right w:w="28" w:type="dxa"/>
                  </w:tcMar>
                  <w:vAlign w:val="center"/>
                </w:tcPr>
                <w:p>
                  <w:pPr>
                    <w:jc w:val="center"/>
                    <w:rPr>
                      <w:color w:val="auto"/>
                      <w:sz w:val="21"/>
                      <w:szCs w:val="21"/>
                      <w:highlight w:val="none"/>
                    </w:rPr>
                  </w:pPr>
                  <w:r>
                    <w:rPr>
                      <w:rFonts w:hint="eastAsia" w:ascii="Times New Roman" w:hAnsi="Times New Roman" w:cs="Times New Roman"/>
                      <w:color w:val="auto"/>
                      <w:sz w:val="21"/>
                      <w:szCs w:val="21"/>
                      <w:highlight w:val="none"/>
                      <w:lang w:eastAsia="zh-CN"/>
                    </w:rPr>
                    <w:t>参照</w:t>
                  </w:r>
                  <w:r>
                    <w:rPr>
                      <w:rFonts w:hint="default" w:ascii="Times New Roman" w:hAnsi="Times New Roman" w:cs="Times New Roman"/>
                      <w:color w:val="auto"/>
                      <w:sz w:val="21"/>
                      <w:szCs w:val="21"/>
                      <w:highlight w:val="none"/>
                    </w:rPr>
                    <w:t>执行《钢铁工业大气污染物超低排放标准》(DB13/2169-2018)中表1轧钢工序（热处理炉、拉矫、精整、抛丸、修磨、焊接机及其他生产设施）颗粒物排放限值要求</w:t>
                  </w:r>
                  <w:r>
                    <w:rPr>
                      <w:rFonts w:hint="eastAsia" w:cs="Times New Roman"/>
                      <w:color w:val="auto"/>
                      <w:sz w:val="21"/>
                      <w:szCs w:val="21"/>
                      <w:highlight w:val="none"/>
                      <w:lang w:eastAsia="zh-CN"/>
                    </w:rPr>
                    <w:t>，</w:t>
                  </w:r>
                  <w:r>
                    <w:rPr>
                      <w:rFonts w:hint="eastAsia"/>
                      <w:color w:val="auto"/>
                      <w:sz w:val="21"/>
                      <w:szCs w:val="21"/>
                      <w:highlight w:val="none"/>
                      <w:lang w:eastAsia="zh-CN"/>
                    </w:rPr>
                    <w:t>≤</w:t>
                  </w:r>
                  <w:r>
                    <w:rPr>
                      <w:rFonts w:hint="default" w:ascii="Times New Roman" w:hAnsi="Times New Roman" w:cs="Times New Roman"/>
                      <w:color w:val="auto"/>
                      <w:sz w:val="21"/>
                      <w:szCs w:val="21"/>
                      <w:highlight w:val="none"/>
                    </w:rPr>
                    <w:t>10mg/m</w:t>
                  </w:r>
                  <w:r>
                    <w:rPr>
                      <w:rFonts w:hint="default" w:ascii="Times New Roman" w:hAnsi="Times New Roman" w:cs="Times New Roman"/>
                      <w:color w:val="auto"/>
                      <w:sz w:val="21"/>
                      <w:szCs w:val="21"/>
                      <w:highlight w:val="none"/>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317" w:type="dxa"/>
                  <w:vMerge w:val="continue"/>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p>
              </w:tc>
              <w:tc>
                <w:tcPr>
                  <w:tcW w:w="966" w:type="dxa"/>
                  <w:gridSpan w:val="2"/>
                  <w:tcMar>
                    <w:left w:w="28" w:type="dxa"/>
                    <w:right w:w="28" w:type="dxa"/>
                  </w:tcMar>
                  <w:vAlign w:val="center"/>
                </w:tcPr>
                <w:p>
                  <w:pPr>
                    <w:tabs>
                      <w:tab w:val="left" w:pos="2604"/>
                    </w:tabs>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自制抛光机机</w:t>
                  </w:r>
                </w:p>
              </w:tc>
              <w:tc>
                <w:tcPr>
                  <w:tcW w:w="880" w:type="dxa"/>
                  <w:tcMar>
                    <w:left w:w="28" w:type="dxa"/>
                    <w:right w:w="28" w:type="dxa"/>
                  </w:tcMar>
                  <w:vAlign w:val="center"/>
                </w:tcPr>
                <w:p>
                  <w:pPr>
                    <w:tabs>
                      <w:tab w:val="left" w:pos="2604"/>
                    </w:tabs>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eastAsia="zh-CN"/>
                    </w:rPr>
                    <w:t>颗粒物</w:t>
                  </w:r>
                </w:p>
              </w:tc>
              <w:tc>
                <w:tcPr>
                  <w:tcW w:w="2606" w:type="dxa"/>
                  <w:tcMar>
                    <w:left w:w="28" w:type="dxa"/>
                    <w:right w:w="28" w:type="dxa"/>
                  </w:tcMar>
                  <w:vAlign w:val="center"/>
                </w:tcPr>
                <w:p>
                  <w:pPr>
                    <w:widowControl/>
                    <w:tabs>
                      <w:tab w:val="left" w:pos="2951"/>
                    </w:tabs>
                    <w:jc w:val="center"/>
                    <w:rPr>
                      <w:rFonts w:hint="eastAsia" w:ascii="Times New Roman" w:hAnsi="Times New Roman" w:eastAsia="宋体" w:cs="Times New Roman"/>
                      <w:color w:val="auto"/>
                      <w:kern w:val="2"/>
                      <w:sz w:val="21"/>
                      <w:szCs w:val="21"/>
                      <w:highlight w:val="none"/>
                      <w:lang w:val="en-US" w:eastAsia="zh-CN" w:bidi="he-IL"/>
                    </w:rPr>
                  </w:pPr>
                  <w:r>
                    <w:rPr>
                      <w:rFonts w:hint="eastAsia" w:cs="Times New Roman"/>
                      <w:color w:val="auto"/>
                      <w:sz w:val="21"/>
                      <w:szCs w:val="21"/>
                      <w:highlight w:val="none"/>
                      <w:lang w:val="en-US" w:eastAsia="zh-CN"/>
                    </w:rPr>
                    <w:t>脉冲</w:t>
                  </w:r>
                  <w:r>
                    <w:rPr>
                      <w:rFonts w:hint="default" w:ascii="Times New Roman" w:hAnsi="Times New Roman" w:cs="Times New Roman"/>
                      <w:color w:val="auto"/>
                      <w:sz w:val="21"/>
                      <w:szCs w:val="21"/>
                      <w:highlight w:val="none"/>
                      <w:lang w:eastAsia="zh-CN"/>
                    </w:rPr>
                    <w:t>布袋除尘器</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1根15m高</w:t>
                  </w:r>
                  <w:r>
                    <w:rPr>
                      <w:rFonts w:hint="default" w:ascii="Times New Roman" w:hAnsi="Times New Roman" w:cs="Times New Roman"/>
                      <w:color w:val="auto"/>
                      <w:sz w:val="21"/>
                      <w:szCs w:val="21"/>
                      <w:highlight w:val="none"/>
                      <w:lang w:val="en-US" w:eastAsia="zh-CN"/>
                    </w:rPr>
                    <w:t>排气筒</w:t>
                  </w:r>
                </w:p>
              </w:tc>
              <w:tc>
                <w:tcPr>
                  <w:tcW w:w="550" w:type="dxa"/>
                  <w:tcMar>
                    <w:left w:w="28" w:type="dxa"/>
                    <w:right w:w="28" w:type="dxa"/>
                  </w:tcMar>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1.5</w:t>
                  </w:r>
                </w:p>
              </w:tc>
              <w:tc>
                <w:tcPr>
                  <w:tcW w:w="739" w:type="dxa"/>
                  <w:tcMar>
                    <w:left w:w="28" w:type="dxa"/>
                    <w:right w:w="28" w:type="dxa"/>
                  </w:tcMar>
                  <w:vAlign w:val="center"/>
                </w:tcPr>
                <w:p>
                  <w:pPr>
                    <w:autoSpaceDE w:val="0"/>
                    <w:autoSpaceDN w:val="0"/>
                    <w:adjustRightInd w:val="0"/>
                    <w:spacing w:line="0" w:lineRule="atLeast"/>
                    <w:jc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0.0009</w:t>
                  </w:r>
                </w:p>
              </w:tc>
              <w:tc>
                <w:tcPr>
                  <w:tcW w:w="785" w:type="dxa"/>
                  <w:tcMar>
                    <w:left w:w="28" w:type="dxa"/>
                    <w:right w:w="28" w:type="dxa"/>
                  </w:tcMar>
                  <w:vAlign w:val="center"/>
                </w:tcPr>
                <w:p>
                  <w:pPr>
                    <w:adjustRightInd w:val="0"/>
                    <w:snapToGrid w:val="0"/>
                    <w:spacing w:line="0" w:lineRule="atLeast"/>
                    <w:jc w:val="center"/>
                    <w:textAlignment w:val="center"/>
                    <w:rPr>
                      <w:rFonts w:hint="eastAsia"/>
                      <w:snapToGrid w:val="0"/>
                      <w:color w:val="auto"/>
                      <w:sz w:val="21"/>
                      <w:szCs w:val="21"/>
                      <w:highlight w:val="none"/>
                    </w:rPr>
                  </w:pPr>
                  <w:r>
                    <w:rPr>
                      <w:rFonts w:hint="eastAsia"/>
                      <w:snapToGrid w:val="0"/>
                      <w:color w:val="auto"/>
                      <w:sz w:val="21"/>
                      <w:szCs w:val="21"/>
                      <w:highlight w:val="none"/>
                    </w:rPr>
                    <w:t>—</w:t>
                  </w:r>
                </w:p>
              </w:tc>
              <w:tc>
                <w:tcPr>
                  <w:tcW w:w="522" w:type="dxa"/>
                  <w:vMerge w:val="continue"/>
                  <w:tcMar>
                    <w:left w:w="28" w:type="dxa"/>
                    <w:right w:w="28" w:type="dxa"/>
                  </w:tcMar>
                  <w:vAlign w:val="center"/>
                </w:tcPr>
                <w:p>
                  <w:pPr>
                    <w:adjustRightInd w:val="0"/>
                    <w:snapToGrid w:val="0"/>
                    <w:spacing w:line="0" w:lineRule="atLeast"/>
                    <w:jc w:val="center"/>
                    <w:textAlignment w:val="center"/>
                    <w:rPr>
                      <w:rFonts w:hint="default"/>
                      <w:snapToGrid w:val="0"/>
                      <w:color w:val="auto"/>
                      <w:sz w:val="21"/>
                      <w:szCs w:val="21"/>
                      <w:highlight w:val="none"/>
                    </w:rPr>
                  </w:pPr>
                </w:p>
              </w:tc>
              <w:tc>
                <w:tcPr>
                  <w:tcW w:w="1864" w:type="dxa"/>
                  <w:vMerge w:val="continue"/>
                  <w:tcMar>
                    <w:left w:w="28" w:type="dxa"/>
                    <w:right w:w="28" w:type="dxa"/>
                  </w:tcMar>
                  <w:vAlign w:val="center"/>
                </w:tcPr>
                <w:p>
                  <w:pPr>
                    <w:jc w:val="center"/>
                    <w:rPr>
                      <w:rFonts w:hint="eastAsia" w:ascii="Times New Roman" w:hAnsi="Times New Roman" w:cs="Times New Roman"/>
                      <w:color w:val="auto"/>
                      <w:sz w:val="21"/>
                      <w:szCs w:val="21"/>
                      <w:highlight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317" w:type="dxa"/>
                  <w:vMerge w:val="continue"/>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p>
              </w:tc>
              <w:tc>
                <w:tcPr>
                  <w:tcW w:w="966" w:type="dxa"/>
                  <w:gridSpan w:val="2"/>
                  <w:tcMar>
                    <w:left w:w="28" w:type="dxa"/>
                    <w:right w:w="28" w:type="dxa"/>
                  </w:tcMar>
                  <w:vAlign w:val="center"/>
                </w:tcPr>
                <w:p>
                  <w:pPr>
                    <w:tabs>
                      <w:tab w:val="left" w:pos="2604"/>
                    </w:tabs>
                    <w:spacing w:line="0" w:lineRule="atLeast"/>
                    <w:jc w:val="center"/>
                    <w:rPr>
                      <w:rFonts w:hint="eastAsia"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无组织废气</w:t>
                  </w:r>
                </w:p>
              </w:tc>
              <w:tc>
                <w:tcPr>
                  <w:tcW w:w="880" w:type="dxa"/>
                  <w:tcMar>
                    <w:left w:w="28" w:type="dxa"/>
                    <w:right w:w="28" w:type="dxa"/>
                  </w:tcMar>
                  <w:vAlign w:val="center"/>
                </w:tcPr>
                <w:p>
                  <w:pPr>
                    <w:tabs>
                      <w:tab w:val="left" w:pos="2604"/>
                    </w:tabs>
                    <w:spacing w:line="0" w:lineRule="atLeast"/>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2606" w:type="dxa"/>
                  <w:tcMar>
                    <w:left w:w="28" w:type="dxa"/>
                    <w:right w:w="28" w:type="dxa"/>
                  </w:tcMar>
                  <w:vAlign w:val="center"/>
                </w:tcPr>
                <w:p>
                  <w:pPr>
                    <w:tabs>
                      <w:tab w:val="left" w:pos="2604"/>
                    </w:tabs>
                    <w:spacing w:line="0" w:lineRule="atLeast"/>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封闭车间</w:t>
                  </w:r>
                </w:p>
              </w:tc>
              <w:tc>
                <w:tcPr>
                  <w:tcW w:w="550" w:type="dxa"/>
                  <w:tcMar>
                    <w:left w:w="28" w:type="dxa"/>
                    <w:right w:w="28" w:type="dxa"/>
                  </w:tcMar>
                  <w:vAlign w:val="center"/>
                </w:tcPr>
                <w:p>
                  <w:pPr>
                    <w:spacing w:line="0" w:lineRule="atLeast"/>
                    <w:jc w:val="center"/>
                    <w:rPr>
                      <w:rFonts w:hint="eastAsia"/>
                      <w:snapToGrid w:val="0"/>
                      <w:color w:val="auto"/>
                      <w:sz w:val="21"/>
                      <w:szCs w:val="21"/>
                      <w:highlight w:val="none"/>
                    </w:rPr>
                  </w:pPr>
                  <w:r>
                    <w:rPr>
                      <w:rFonts w:hint="eastAsia"/>
                      <w:snapToGrid w:val="0"/>
                      <w:color w:val="auto"/>
                      <w:sz w:val="21"/>
                      <w:szCs w:val="21"/>
                      <w:highlight w:val="none"/>
                    </w:rPr>
                    <w:t>—</w:t>
                  </w:r>
                </w:p>
              </w:tc>
              <w:tc>
                <w:tcPr>
                  <w:tcW w:w="739" w:type="dxa"/>
                  <w:tcMar>
                    <w:left w:w="28" w:type="dxa"/>
                    <w:right w:w="28" w:type="dxa"/>
                  </w:tcMar>
                  <w:vAlign w:val="center"/>
                </w:tcPr>
                <w:p>
                  <w:pPr>
                    <w:autoSpaceDE w:val="0"/>
                    <w:autoSpaceDN w:val="0"/>
                    <w:adjustRightInd w:val="0"/>
                    <w:spacing w:line="0" w:lineRule="atLeast"/>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0.0132</w:t>
                  </w:r>
                </w:p>
              </w:tc>
              <w:tc>
                <w:tcPr>
                  <w:tcW w:w="785" w:type="dxa"/>
                  <w:tcMar>
                    <w:left w:w="28" w:type="dxa"/>
                    <w:right w:w="28" w:type="dxa"/>
                  </w:tcMar>
                  <w:vAlign w:val="center"/>
                </w:tcPr>
                <w:p>
                  <w:pPr>
                    <w:adjustRightInd w:val="0"/>
                    <w:snapToGrid w:val="0"/>
                    <w:spacing w:line="0" w:lineRule="atLeast"/>
                    <w:jc w:val="center"/>
                    <w:textAlignment w:val="center"/>
                    <w:rPr>
                      <w:rFonts w:hint="eastAsia"/>
                      <w:snapToGrid w:val="0"/>
                      <w:color w:val="auto"/>
                      <w:sz w:val="21"/>
                      <w:szCs w:val="21"/>
                      <w:highlight w:val="none"/>
                    </w:rPr>
                  </w:pPr>
                  <w:r>
                    <w:rPr>
                      <w:rFonts w:hint="eastAsia"/>
                      <w:snapToGrid w:val="0"/>
                      <w:color w:val="auto"/>
                      <w:sz w:val="21"/>
                      <w:szCs w:val="21"/>
                      <w:highlight w:val="none"/>
                    </w:rPr>
                    <w:t>—</w:t>
                  </w:r>
                </w:p>
              </w:tc>
              <w:tc>
                <w:tcPr>
                  <w:tcW w:w="522"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rFonts w:hint="eastAsia"/>
                      <w:snapToGrid w:val="0"/>
                      <w:color w:val="auto"/>
                      <w:sz w:val="21"/>
                      <w:szCs w:val="21"/>
                      <w:highlight w:val="none"/>
                    </w:rPr>
                    <w:t>—</w:t>
                  </w:r>
                </w:p>
              </w:tc>
              <w:tc>
                <w:tcPr>
                  <w:tcW w:w="1864" w:type="dxa"/>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《大气污染物综合排放标准》（GB16297-1996）</w:t>
                  </w:r>
                  <w:r>
                    <w:rPr>
                      <w:rFonts w:hint="eastAsia"/>
                      <w:color w:val="auto"/>
                      <w:sz w:val="21"/>
                      <w:szCs w:val="21"/>
                      <w:highlight w:val="none"/>
                    </w:rPr>
                    <w:t>表2</w:t>
                  </w:r>
                  <w:r>
                    <w:rPr>
                      <w:color w:val="auto"/>
                      <w:sz w:val="21"/>
                      <w:szCs w:val="21"/>
                      <w:highlight w:val="none"/>
                    </w:rPr>
                    <w:t>无组织排放监控浓度限值（</w:t>
                  </w:r>
                  <w:r>
                    <w:rPr>
                      <w:rFonts w:hint="eastAsia"/>
                      <w:color w:val="auto"/>
                      <w:sz w:val="21"/>
                      <w:szCs w:val="21"/>
                      <w:highlight w:val="none"/>
                      <w:lang w:eastAsia="zh-CN"/>
                    </w:rPr>
                    <w:t>≤</w:t>
                  </w:r>
                  <w:r>
                    <w:rPr>
                      <w:color w:val="auto"/>
                      <w:sz w:val="21"/>
                      <w:szCs w:val="21"/>
                      <w:highlight w:val="none"/>
                    </w:rPr>
                    <w:t>1.0mg/m</w:t>
                  </w:r>
                  <w:r>
                    <w:rPr>
                      <w:color w:val="auto"/>
                      <w:sz w:val="21"/>
                      <w:szCs w:val="21"/>
                      <w:highlight w:val="none"/>
                      <w:vertAlign w:val="superscript"/>
                    </w:rPr>
                    <w:t>3</w:t>
                  </w:r>
                  <w:r>
                    <w:rPr>
                      <w:color w:val="auto"/>
                      <w:sz w:val="21"/>
                      <w:szCs w:val="21"/>
                      <w:highlight w:val="none"/>
                    </w:rPr>
                    <w:t>）</w:t>
                  </w:r>
                  <w:r>
                    <w:rPr>
                      <w:rFonts w:hint="eastAsia"/>
                      <w:color w:val="auto"/>
                      <w:sz w:val="21"/>
                      <w:szCs w:val="21"/>
                      <w:highlight w:val="none"/>
                      <w:lang w:eastAsia="zh-CN"/>
                    </w:rPr>
                    <w:t>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317"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废水</w:t>
                  </w:r>
                </w:p>
              </w:tc>
              <w:tc>
                <w:tcPr>
                  <w:tcW w:w="966" w:type="dxa"/>
                  <w:gridSpan w:val="2"/>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880" w:type="dxa"/>
                  <w:tcMar>
                    <w:left w:w="28" w:type="dxa"/>
                    <w:right w:w="28" w:type="dxa"/>
                  </w:tcMar>
                  <w:vAlign w:val="center"/>
                </w:tcPr>
                <w:p>
                  <w:pPr>
                    <w:spacing w:line="0" w:lineRule="atLeast"/>
                    <w:jc w:val="center"/>
                    <w:rPr>
                      <w:color w:val="auto"/>
                      <w:sz w:val="21"/>
                      <w:szCs w:val="21"/>
                      <w:highlight w:val="none"/>
                    </w:rPr>
                  </w:pPr>
                  <w:r>
                    <w:rPr>
                      <w:snapToGrid w:val="0"/>
                      <w:color w:val="auto"/>
                      <w:sz w:val="21"/>
                      <w:szCs w:val="21"/>
                      <w:highlight w:val="none"/>
                    </w:rPr>
                    <w:t>—</w:t>
                  </w:r>
                </w:p>
              </w:tc>
              <w:tc>
                <w:tcPr>
                  <w:tcW w:w="2606" w:type="dxa"/>
                  <w:tcMar>
                    <w:left w:w="28" w:type="dxa"/>
                    <w:right w:w="28" w:type="dxa"/>
                  </w:tcMar>
                  <w:vAlign w:val="center"/>
                </w:tcPr>
                <w:p>
                  <w:pPr>
                    <w:widowControl/>
                    <w:jc w:val="center"/>
                    <w:rPr>
                      <w:rFonts w:hint="eastAsia" w:ascii="Times New Roman" w:hAnsi="Times New Roman" w:eastAsia="宋体" w:cs="Times New Roman"/>
                      <w:color w:val="auto"/>
                      <w:sz w:val="21"/>
                      <w:szCs w:val="21"/>
                      <w:highlight w:val="none"/>
                      <w:lang w:val="en-US" w:eastAsia="zh-CN" w:bidi="he-IL"/>
                    </w:rPr>
                  </w:pPr>
                  <w:r>
                    <w:rPr>
                      <w:snapToGrid w:val="0"/>
                      <w:color w:val="auto"/>
                      <w:sz w:val="21"/>
                      <w:szCs w:val="21"/>
                      <w:highlight w:val="none"/>
                    </w:rPr>
                    <w:t>—</w:t>
                  </w:r>
                </w:p>
              </w:tc>
              <w:tc>
                <w:tcPr>
                  <w:tcW w:w="550"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739" w:type="dxa"/>
                  <w:tcMar>
                    <w:left w:w="28" w:type="dxa"/>
                    <w:right w:w="28" w:type="dxa"/>
                  </w:tcMar>
                  <w:vAlign w:val="center"/>
                </w:tcPr>
                <w:p>
                  <w:pPr>
                    <w:jc w:val="center"/>
                    <w:rPr>
                      <w:rFonts w:hint="default" w:eastAsia="宋体"/>
                      <w:color w:val="auto"/>
                      <w:sz w:val="21"/>
                      <w:szCs w:val="21"/>
                      <w:highlight w:val="none"/>
                      <w:lang w:val="en-US" w:eastAsia="zh-CN"/>
                    </w:rPr>
                  </w:pPr>
                  <w:r>
                    <w:rPr>
                      <w:snapToGrid w:val="0"/>
                      <w:color w:val="auto"/>
                      <w:sz w:val="21"/>
                      <w:szCs w:val="21"/>
                      <w:highlight w:val="none"/>
                    </w:rPr>
                    <w:t>—</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522"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1864" w:type="dxa"/>
                  <w:tcMar>
                    <w:left w:w="28" w:type="dxa"/>
                    <w:right w:w="28" w:type="dxa"/>
                  </w:tcMar>
                  <w:vAlign w:val="center"/>
                </w:tcPr>
                <w:p>
                  <w:pPr>
                    <w:adjustRightInd w:val="0"/>
                    <w:snapToGrid w:val="0"/>
                    <w:spacing w:line="0" w:lineRule="atLeast"/>
                    <w:jc w:val="center"/>
                    <w:textAlignment w:val="center"/>
                    <w:rPr>
                      <w:rFonts w:hint="eastAsia" w:eastAsia="宋体"/>
                      <w:color w:val="auto"/>
                      <w:kern w:val="24"/>
                      <w:sz w:val="21"/>
                      <w:szCs w:val="21"/>
                      <w:highlight w:val="none"/>
                      <w:lang w:eastAsia="zh-CN"/>
                    </w:rPr>
                  </w:pPr>
                  <w:r>
                    <w:rPr>
                      <w:snapToGrid w:val="0"/>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17" w:type="dxa"/>
                  <w:tcMar>
                    <w:left w:w="28" w:type="dxa"/>
                    <w:right w:w="28" w:type="dxa"/>
                  </w:tcMar>
                  <w:vAlign w:val="center"/>
                </w:tcPr>
                <w:p>
                  <w:pPr>
                    <w:spacing w:line="0" w:lineRule="atLeast"/>
                    <w:jc w:val="center"/>
                    <w:rPr>
                      <w:snapToGrid w:val="0"/>
                      <w:color w:val="auto"/>
                      <w:sz w:val="21"/>
                      <w:szCs w:val="21"/>
                      <w:highlight w:val="none"/>
                    </w:rPr>
                  </w:pPr>
                  <w:r>
                    <w:rPr>
                      <w:color w:val="auto"/>
                      <w:sz w:val="21"/>
                      <w:szCs w:val="21"/>
                      <w:highlight w:val="none"/>
                    </w:rPr>
                    <w:t>噪声</w:t>
                  </w:r>
                </w:p>
              </w:tc>
              <w:tc>
                <w:tcPr>
                  <w:tcW w:w="966" w:type="dxa"/>
                  <w:gridSpan w:val="2"/>
                  <w:tcMar>
                    <w:left w:w="28" w:type="dxa"/>
                    <w:right w:w="28" w:type="dxa"/>
                  </w:tcMar>
                  <w:vAlign w:val="center"/>
                </w:tcPr>
                <w:p>
                  <w:pPr>
                    <w:spacing w:line="0" w:lineRule="atLeast"/>
                    <w:jc w:val="center"/>
                    <w:rPr>
                      <w:snapToGrid w:val="0"/>
                      <w:color w:val="auto"/>
                      <w:sz w:val="21"/>
                      <w:szCs w:val="21"/>
                      <w:highlight w:val="none"/>
                    </w:rPr>
                  </w:pPr>
                  <w:r>
                    <w:rPr>
                      <w:color w:val="auto"/>
                      <w:sz w:val="21"/>
                      <w:szCs w:val="21"/>
                      <w:highlight w:val="none"/>
                      <w:lang w:val="zh-CN" w:bidi="he-IL"/>
                    </w:rPr>
                    <w:t>生产设备</w:t>
                  </w:r>
                </w:p>
              </w:tc>
              <w:tc>
                <w:tcPr>
                  <w:tcW w:w="880" w:type="dxa"/>
                  <w:tcMar>
                    <w:left w:w="28" w:type="dxa"/>
                    <w:right w:w="28" w:type="dxa"/>
                  </w:tcMar>
                  <w:vAlign w:val="center"/>
                </w:tcPr>
                <w:p>
                  <w:pPr>
                    <w:spacing w:line="0" w:lineRule="atLeast"/>
                    <w:jc w:val="center"/>
                    <w:rPr>
                      <w:snapToGrid w:val="0"/>
                      <w:color w:val="auto"/>
                      <w:sz w:val="21"/>
                      <w:szCs w:val="21"/>
                      <w:highlight w:val="none"/>
                    </w:rPr>
                  </w:pPr>
                  <w:r>
                    <w:rPr>
                      <w:snapToGrid w:val="0"/>
                      <w:color w:val="auto"/>
                      <w:sz w:val="21"/>
                      <w:szCs w:val="21"/>
                      <w:highlight w:val="none"/>
                    </w:rPr>
                    <w:t>噪声</w:t>
                  </w:r>
                </w:p>
              </w:tc>
              <w:tc>
                <w:tcPr>
                  <w:tcW w:w="2606" w:type="dxa"/>
                  <w:tcMar>
                    <w:left w:w="28" w:type="dxa"/>
                    <w:right w:w="28" w:type="dxa"/>
                  </w:tcMar>
                  <w:vAlign w:val="center"/>
                </w:tcPr>
                <w:p>
                  <w:pPr>
                    <w:pStyle w:val="2"/>
                    <w:jc w:val="center"/>
                    <w:rPr>
                      <w:rFonts w:ascii="Times New Roman"/>
                      <w:color w:val="auto"/>
                      <w:sz w:val="21"/>
                      <w:szCs w:val="21"/>
                      <w:highlight w:val="none"/>
                    </w:rPr>
                  </w:pPr>
                  <w:r>
                    <w:rPr>
                      <w:rFonts w:ascii="Times New Roman"/>
                      <w:color w:val="auto"/>
                      <w:kern w:val="2"/>
                      <w:sz w:val="21"/>
                      <w:szCs w:val="21"/>
                      <w:highlight w:val="none"/>
                      <w:lang w:val="zh-CN"/>
                    </w:rPr>
                    <w:t>采取厂房隔声、基础减振</w:t>
                  </w:r>
                </w:p>
              </w:tc>
              <w:tc>
                <w:tcPr>
                  <w:tcW w:w="550" w:type="dxa"/>
                  <w:tcMar>
                    <w:left w:w="28" w:type="dxa"/>
                    <w:right w:w="28" w:type="dxa"/>
                  </w:tcMar>
                  <w:vAlign w:val="center"/>
                </w:tcPr>
                <w:p>
                  <w:pPr>
                    <w:spacing w:line="0" w:lineRule="atLeast"/>
                    <w:jc w:val="center"/>
                    <w:rPr>
                      <w:snapToGrid w:val="0"/>
                      <w:color w:val="auto"/>
                      <w:sz w:val="21"/>
                      <w:szCs w:val="21"/>
                      <w:highlight w:val="none"/>
                    </w:rPr>
                  </w:pPr>
                  <w:r>
                    <w:rPr>
                      <w:color w:val="auto"/>
                      <w:sz w:val="21"/>
                      <w:szCs w:val="21"/>
                      <w:highlight w:val="none"/>
                    </w:rPr>
                    <w:t>—</w:t>
                  </w:r>
                </w:p>
              </w:tc>
              <w:tc>
                <w:tcPr>
                  <w:tcW w:w="739" w:type="dxa"/>
                  <w:tcMar>
                    <w:left w:w="28" w:type="dxa"/>
                    <w:right w:w="28" w:type="dxa"/>
                  </w:tcMar>
                  <w:vAlign w:val="center"/>
                </w:tcPr>
                <w:p>
                  <w:pPr>
                    <w:spacing w:line="0" w:lineRule="atLeast"/>
                    <w:jc w:val="center"/>
                    <w:rPr>
                      <w:snapToGrid w:val="0"/>
                      <w:color w:val="auto"/>
                      <w:sz w:val="21"/>
                      <w:szCs w:val="21"/>
                      <w:highlight w:val="none"/>
                    </w:rPr>
                  </w:pPr>
                  <w:r>
                    <w:rPr>
                      <w:snapToGrid w:val="0"/>
                      <w:color w:val="auto"/>
                      <w:sz w:val="21"/>
                      <w:szCs w:val="21"/>
                      <w:highlight w:val="none"/>
                    </w:rPr>
                    <w:t>—</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522"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1864" w:type="dxa"/>
                  <w:tcMar>
                    <w:left w:w="28" w:type="dxa"/>
                    <w:right w:w="28" w:type="dxa"/>
                  </w:tcMar>
                  <w:vAlign w:val="center"/>
                </w:tcPr>
                <w:p>
                  <w:pPr>
                    <w:adjustRightInd w:val="0"/>
                    <w:snapToGrid w:val="0"/>
                    <w:spacing w:line="0" w:lineRule="atLeast"/>
                    <w:jc w:val="center"/>
                    <w:textAlignment w:val="center"/>
                    <w:rPr>
                      <w:color w:val="auto"/>
                      <w:sz w:val="21"/>
                      <w:szCs w:val="21"/>
                      <w:highlight w:val="none"/>
                    </w:rPr>
                  </w:pPr>
                  <w:r>
                    <w:rPr>
                      <w:color w:val="auto"/>
                      <w:sz w:val="21"/>
                      <w:szCs w:val="21"/>
                      <w:highlight w:val="none"/>
                    </w:rPr>
                    <w:t>厂界执行《工业企业厂界环境噪声排放标准》GB12348-2008)中</w:t>
                  </w:r>
                  <w:r>
                    <w:rPr>
                      <w:rFonts w:hint="eastAsia"/>
                      <w:color w:val="auto"/>
                      <w:sz w:val="21"/>
                      <w:szCs w:val="21"/>
                      <w:highlight w:val="none"/>
                      <w:lang w:val="en-US" w:eastAsia="zh-CN"/>
                    </w:rPr>
                    <w:t>3</w:t>
                  </w:r>
                  <w:r>
                    <w:rPr>
                      <w:color w:val="auto"/>
                      <w:sz w:val="21"/>
                      <w:szCs w:val="21"/>
                      <w:highlight w:val="none"/>
                    </w:rPr>
                    <w:t>类标准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9" w:type="dxa"/>
                  <w:gridSpan w:val="2"/>
                  <w:vMerge w:val="restart"/>
                  <w:tcMar>
                    <w:left w:w="28" w:type="dxa"/>
                    <w:right w:w="28" w:type="dxa"/>
                  </w:tcMar>
                  <w:vAlign w:val="center"/>
                </w:tcPr>
                <w:p>
                  <w:pPr>
                    <w:spacing w:line="0" w:lineRule="atLeast"/>
                    <w:jc w:val="center"/>
                    <w:rPr>
                      <w:color w:val="auto"/>
                      <w:sz w:val="21"/>
                      <w:szCs w:val="21"/>
                      <w:highlight w:val="none"/>
                    </w:rPr>
                  </w:pPr>
                  <w:r>
                    <w:rPr>
                      <w:color w:val="auto"/>
                      <w:sz w:val="21"/>
                      <w:szCs w:val="21"/>
                      <w:highlight w:val="none"/>
                    </w:rPr>
                    <w:t>固废</w:t>
                  </w:r>
                </w:p>
              </w:tc>
              <w:tc>
                <w:tcPr>
                  <w:tcW w:w="964" w:type="dxa"/>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下料、</w:t>
                  </w:r>
                  <w:r>
                    <w:rPr>
                      <w:rFonts w:hint="eastAsia"/>
                      <w:color w:val="auto"/>
                      <w:szCs w:val="21"/>
                      <w:highlight w:val="none"/>
                      <w:lang w:eastAsia="zh-CN"/>
                    </w:rPr>
                    <w:t>机加工</w:t>
                  </w:r>
                </w:p>
              </w:tc>
              <w:tc>
                <w:tcPr>
                  <w:tcW w:w="880" w:type="dxa"/>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下脚料</w:t>
                  </w:r>
                </w:p>
              </w:tc>
              <w:tc>
                <w:tcPr>
                  <w:tcW w:w="2606" w:type="dxa"/>
                  <w:tcMar>
                    <w:left w:w="28" w:type="dxa"/>
                    <w:right w:w="28" w:type="dxa"/>
                  </w:tcMar>
                  <w:vAlign w:val="center"/>
                </w:tcPr>
                <w:p>
                  <w:pPr>
                    <w:spacing w:line="0" w:lineRule="atLeast"/>
                    <w:jc w:val="center"/>
                    <w:rPr>
                      <w:rFonts w:hint="eastAsia" w:ascii="Times New Roman" w:hAnsi="Times New Roman" w:eastAsia="宋体" w:cs="Times New Roman"/>
                      <w:color w:val="auto"/>
                      <w:spacing w:val="6"/>
                      <w:kern w:val="2"/>
                      <w:sz w:val="21"/>
                      <w:szCs w:val="21"/>
                      <w:highlight w:val="none"/>
                      <w:lang w:val="en-US" w:eastAsia="zh-CN" w:bidi="ar-SA"/>
                    </w:rPr>
                  </w:pPr>
                  <w:r>
                    <w:rPr>
                      <w:color w:val="auto"/>
                      <w:szCs w:val="21"/>
                      <w:highlight w:val="none"/>
                    </w:rPr>
                    <w:t>集中收集后外售</w:t>
                  </w:r>
                </w:p>
              </w:tc>
              <w:tc>
                <w:tcPr>
                  <w:tcW w:w="550"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739" w:type="dxa"/>
                  <w:tcMar>
                    <w:left w:w="28" w:type="dxa"/>
                    <w:right w:w="28" w:type="dxa"/>
                  </w:tcMar>
                  <w:vAlign w:val="center"/>
                </w:tcPr>
                <w:p>
                  <w:pPr>
                    <w:overflowPunct w:val="0"/>
                    <w:autoSpaceDE w:val="0"/>
                    <w:autoSpaceDN w:val="0"/>
                    <w:adjustRightInd w:val="0"/>
                    <w:snapToGrid w:val="0"/>
                    <w:spacing w:line="0" w:lineRule="atLeast"/>
                    <w:jc w:val="center"/>
                    <w:rPr>
                      <w:rFonts w:hint="default"/>
                      <w:color w:val="auto"/>
                      <w:sz w:val="21"/>
                      <w:szCs w:val="21"/>
                      <w:highlight w:val="none"/>
                      <w:lang w:val="en-US" w:eastAsia="zh-CN"/>
                    </w:rPr>
                  </w:pPr>
                  <w:r>
                    <w:rPr>
                      <w:rFonts w:hint="eastAsia"/>
                      <w:color w:val="auto"/>
                      <w:spacing w:val="6"/>
                      <w:sz w:val="21"/>
                      <w:szCs w:val="21"/>
                      <w:highlight w:val="none"/>
                      <w:lang w:val="en-US" w:eastAsia="zh-CN"/>
                    </w:rPr>
                    <w:t>2.0</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522" w:type="dxa"/>
                  <w:vMerge w:val="restart"/>
                  <w:tcMar>
                    <w:left w:w="28" w:type="dxa"/>
                    <w:right w:w="28" w:type="dxa"/>
                  </w:tcMar>
                  <w:vAlign w:val="center"/>
                </w:tcPr>
                <w:p>
                  <w:pPr>
                    <w:spacing w:line="0" w:lineRule="atLeast"/>
                    <w:jc w:val="center"/>
                    <w:rPr>
                      <w:snapToGrid w:val="0"/>
                      <w:color w:val="auto"/>
                      <w:sz w:val="21"/>
                      <w:szCs w:val="21"/>
                      <w:highlight w:val="none"/>
                    </w:rPr>
                  </w:pPr>
                  <w:r>
                    <w:rPr>
                      <w:snapToGrid w:val="0"/>
                      <w:color w:val="auto"/>
                      <w:sz w:val="21"/>
                      <w:szCs w:val="21"/>
                      <w:highlight w:val="none"/>
                    </w:rPr>
                    <w:t>—</w:t>
                  </w:r>
                </w:p>
              </w:tc>
              <w:tc>
                <w:tcPr>
                  <w:tcW w:w="1864" w:type="dxa"/>
                  <w:vMerge w:val="restart"/>
                  <w:tcMar>
                    <w:left w:w="28" w:type="dxa"/>
                    <w:right w:w="28" w:type="dxa"/>
                  </w:tcMar>
                  <w:vAlign w:val="center"/>
                </w:tcPr>
                <w:p>
                  <w:pPr>
                    <w:adjustRightInd w:val="0"/>
                    <w:snapToGrid w:val="0"/>
                    <w:spacing w:line="0" w:lineRule="atLeast"/>
                    <w:jc w:val="center"/>
                    <w:textAlignment w:val="center"/>
                    <w:rPr>
                      <w:color w:val="auto"/>
                      <w:sz w:val="21"/>
                      <w:szCs w:val="21"/>
                      <w:highlight w:val="none"/>
                    </w:rPr>
                  </w:pPr>
                  <w:r>
                    <w:rPr>
                      <w:snapToGrid w:val="0"/>
                      <w:color w:val="auto"/>
                      <w:sz w:val="21"/>
                      <w:szCs w:val="21"/>
                      <w:highlight w:val="none"/>
                    </w:rPr>
                    <w:t>一般固废执行《一般工业固体废弃物贮存、处置场污染控制标准》（GB18599-2001）及其修改单（环境保护部公告2013年第36号）中相关要求；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9" w:type="dxa"/>
                  <w:gridSpan w:val="2"/>
                  <w:vMerge w:val="continue"/>
                  <w:tcMar>
                    <w:left w:w="28" w:type="dxa"/>
                    <w:right w:w="28" w:type="dxa"/>
                  </w:tcMar>
                  <w:vAlign w:val="center"/>
                </w:tcPr>
                <w:p>
                  <w:pPr>
                    <w:spacing w:line="0" w:lineRule="atLeast"/>
                    <w:jc w:val="center"/>
                    <w:rPr>
                      <w:color w:val="auto"/>
                      <w:sz w:val="21"/>
                      <w:szCs w:val="21"/>
                      <w:highlight w:val="none"/>
                    </w:rPr>
                  </w:pPr>
                </w:p>
              </w:tc>
              <w:tc>
                <w:tcPr>
                  <w:tcW w:w="964" w:type="dxa"/>
                  <w:tcMar>
                    <w:left w:w="28" w:type="dxa"/>
                    <w:right w:w="28" w:type="dxa"/>
                  </w:tcMar>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除尘器</w:t>
                  </w:r>
                </w:p>
              </w:tc>
              <w:tc>
                <w:tcPr>
                  <w:tcW w:w="880" w:type="dxa"/>
                  <w:tcMar>
                    <w:left w:w="28" w:type="dxa"/>
                    <w:right w:w="28" w:type="dxa"/>
                  </w:tcMar>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除尘灰</w:t>
                  </w:r>
                </w:p>
              </w:tc>
              <w:tc>
                <w:tcPr>
                  <w:tcW w:w="2606" w:type="dxa"/>
                  <w:tcMar>
                    <w:left w:w="28" w:type="dxa"/>
                    <w:right w:w="28" w:type="dxa"/>
                  </w:tcMar>
                  <w:vAlign w:val="center"/>
                </w:tcPr>
                <w:p>
                  <w:pPr>
                    <w:spacing w:line="0" w:lineRule="atLeast"/>
                    <w:jc w:val="center"/>
                    <w:rPr>
                      <w:rFonts w:hint="eastAsia" w:ascii="Times New Roman" w:hAnsi="Times New Roman" w:eastAsia="宋体" w:cs="Times New Roman"/>
                      <w:color w:val="auto"/>
                      <w:spacing w:val="6"/>
                      <w:kern w:val="2"/>
                      <w:sz w:val="21"/>
                      <w:szCs w:val="21"/>
                      <w:highlight w:val="none"/>
                      <w:lang w:val="en-US" w:eastAsia="zh-CN" w:bidi="ar-SA"/>
                    </w:rPr>
                  </w:pPr>
                  <w:r>
                    <w:rPr>
                      <w:color w:val="auto"/>
                      <w:szCs w:val="21"/>
                      <w:highlight w:val="none"/>
                    </w:rPr>
                    <w:t>集中收集后外售</w:t>
                  </w:r>
                </w:p>
              </w:tc>
              <w:tc>
                <w:tcPr>
                  <w:tcW w:w="550" w:type="dxa"/>
                  <w:tcMar>
                    <w:left w:w="28" w:type="dxa"/>
                    <w:right w:w="28" w:type="dxa"/>
                  </w:tcMar>
                  <w:vAlign w:val="center"/>
                </w:tcPr>
                <w:p>
                  <w:pPr>
                    <w:adjustRightInd w:val="0"/>
                    <w:snapToGrid w:val="0"/>
                    <w:spacing w:line="0" w:lineRule="atLeast"/>
                    <w:jc w:val="center"/>
                    <w:textAlignment w:val="center"/>
                    <w:rPr>
                      <w:rFonts w:ascii="Times New Roman" w:hAnsi="Times New Roman" w:eastAsia="宋体" w:cs="Times New Roman"/>
                      <w:snapToGrid w:val="0"/>
                      <w:color w:val="auto"/>
                      <w:kern w:val="2"/>
                      <w:sz w:val="21"/>
                      <w:szCs w:val="21"/>
                      <w:highlight w:val="none"/>
                      <w:lang w:val="en-US" w:eastAsia="zh-CN" w:bidi="ar-SA"/>
                    </w:rPr>
                  </w:pPr>
                  <w:r>
                    <w:rPr>
                      <w:snapToGrid w:val="0"/>
                      <w:color w:val="auto"/>
                      <w:sz w:val="21"/>
                      <w:szCs w:val="21"/>
                      <w:highlight w:val="none"/>
                    </w:rPr>
                    <w:t>—</w:t>
                  </w:r>
                </w:p>
              </w:tc>
              <w:tc>
                <w:tcPr>
                  <w:tcW w:w="739" w:type="dxa"/>
                  <w:tcMar>
                    <w:left w:w="28" w:type="dxa"/>
                    <w:right w:w="28" w:type="dxa"/>
                  </w:tcMar>
                  <w:vAlign w:val="center"/>
                </w:tcPr>
                <w:p>
                  <w:pPr>
                    <w:overflowPunct w:val="0"/>
                    <w:autoSpaceDE w:val="0"/>
                    <w:autoSpaceDN w:val="0"/>
                    <w:adjustRightInd w:val="0"/>
                    <w:snapToGrid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pacing w:val="6"/>
                      <w:sz w:val="21"/>
                      <w:szCs w:val="21"/>
                      <w:highlight w:val="none"/>
                      <w:lang w:val="en-US" w:eastAsia="zh-CN"/>
                    </w:rPr>
                    <w:t>0.367</w:t>
                  </w:r>
                </w:p>
              </w:tc>
              <w:tc>
                <w:tcPr>
                  <w:tcW w:w="785" w:type="dxa"/>
                  <w:tcMar>
                    <w:left w:w="28" w:type="dxa"/>
                    <w:right w:w="28" w:type="dxa"/>
                  </w:tcMar>
                  <w:vAlign w:val="center"/>
                </w:tcPr>
                <w:p>
                  <w:pPr>
                    <w:adjustRightInd w:val="0"/>
                    <w:snapToGrid w:val="0"/>
                    <w:spacing w:line="0" w:lineRule="atLeast"/>
                    <w:jc w:val="center"/>
                    <w:textAlignment w:val="center"/>
                    <w:rPr>
                      <w:rFonts w:ascii="Times New Roman" w:hAnsi="Times New Roman" w:eastAsia="宋体" w:cs="Times New Roman"/>
                      <w:snapToGrid w:val="0"/>
                      <w:color w:val="auto"/>
                      <w:kern w:val="2"/>
                      <w:sz w:val="21"/>
                      <w:szCs w:val="21"/>
                      <w:highlight w:val="none"/>
                      <w:lang w:val="en-US" w:eastAsia="zh-CN" w:bidi="ar-SA"/>
                    </w:rPr>
                  </w:pPr>
                  <w:r>
                    <w:rPr>
                      <w:snapToGrid w:val="0"/>
                      <w:color w:val="auto"/>
                      <w:sz w:val="21"/>
                      <w:szCs w:val="21"/>
                      <w:highlight w:val="none"/>
                    </w:rPr>
                    <w:t>—</w:t>
                  </w:r>
                </w:p>
              </w:tc>
              <w:tc>
                <w:tcPr>
                  <w:tcW w:w="522" w:type="dxa"/>
                  <w:vMerge w:val="continue"/>
                  <w:tcMar>
                    <w:left w:w="28" w:type="dxa"/>
                    <w:right w:w="28" w:type="dxa"/>
                  </w:tcMar>
                  <w:vAlign w:val="center"/>
                </w:tcPr>
                <w:p>
                  <w:pPr>
                    <w:spacing w:line="0" w:lineRule="atLeast"/>
                    <w:jc w:val="center"/>
                    <w:rPr>
                      <w:snapToGrid w:val="0"/>
                      <w:color w:val="auto"/>
                      <w:sz w:val="21"/>
                      <w:szCs w:val="21"/>
                      <w:highlight w:val="none"/>
                    </w:rPr>
                  </w:pPr>
                </w:p>
              </w:tc>
              <w:tc>
                <w:tcPr>
                  <w:tcW w:w="1864" w:type="dxa"/>
                  <w:vMerge w:val="continue"/>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9" w:type="dxa"/>
                  <w:gridSpan w:val="2"/>
                  <w:vMerge w:val="continue"/>
                  <w:tcMar>
                    <w:left w:w="28" w:type="dxa"/>
                    <w:right w:w="28" w:type="dxa"/>
                  </w:tcMar>
                  <w:vAlign w:val="center"/>
                </w:tcPr>
                <w:p>
                  <w:pPr>
                    <w:spacing w:line="0" w:lineRule="atLeast"/>
                    <w:jc w:val="center"/>
                    <w:rPr>
                      <w:color w:val="auto"/>
                      <w:sz w:val="21"/>
                      <w:szCs w:val="21"/>
                      <w:highlight w:val="none"/>
                    </w:rPr>
                  </w:pPr>
                </w:p>
              </w:tc>
              <w:tc>
                <w:tcPr>
                  <w:tcW w:w="964" w:type="dxa"/>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铣床</w:t>
                  </w:r>
                  <w:r>
                    <w:rPr>
                      <w:rFonts w:hint="eastAsia"/>
                      <w:color w:val="auto"/>
                      <w:szCs w:val="21"/>
                      <w:highlight w:val="none"/>
                      <w:lang w:eastAsia="zh-CN"/>
                    </w:rPr>
                    <w:t>、锯床、线切割</w:t>
                  </w:r>
                </w:p>
              </w:tc>
              <w:tc>
                <w:tcPr>
                  <w:tcW w:w="880" w:type="dxa"/>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含油金属屑</w:t>
                  </w:r>
                </w:p>
              </w:tc>
              <w:tc>
                <w:tcPr>
                  <w:tcW w:w="2606" w:type="dxa"/>
                  <w:tcMar>
                    <w:left w:w="28" w:type="dxa"/>
                    <w:right w:w="28" w:type="dxa"/>
                  </w:tcMar>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含</w:t>
                  </w:r>
                  <w:r>
                    <w:rPr>
                      <w:rFonts w:hint="eastAsia"/>
                      <w:color w:val="auto"/>
                      <w:highlight w:val="none"/>
                      <w:lang w:eastAsia="zh-CN"/>
                    </w:rPr>
                    <w:t>油</w:t>
                  </w:r>
                  <w:r>
                    <w:rPr>
                      <w:rFonts w:hint="eastAsia"/>
                      <w:color w:val="auto"/>
                      <w:highlight w:val="none"/>
                    </w:rPr>
                    <w:t>金属屑单独收集后放入离心分离设备内，在离心力的作用下，将金属屑与</w:t>
                  </w:r>
                  <w:r>
                    <w:rPr>
                      <w:rFonts w:hint="eastAsia"/>
                      <w:color w:val="auto"/>
                      <w:highlight w:val="none"/>
                      <w:lang w:eastAsia="zh-CN"/>
                    </w:rPr>
                    <w:t>废</w:t>
                  </w:r>
                  <w:r>
                    <w:rPr>
                      <w:rFonts w:hint="eastAsia"/>
                      <w:color w:val="auto"/>
                      <w:highlight w:val="none"/>
                    </w:rPr>
                    <w:t>切削液分开，离</w:t>
                  </w:r>
                  <w:r>
                    <w:rPr>
                      <w:rFonts w:hint="eastAsia"/>
                      <w:color w:val="auto"/>
                      <w:highlight w:val="none"/>
                      <w:lang w:eastAsia="zh-CN"/>
                    </w:rPr>
                    <w:t>心</w:t>
                  </w:r>
                  <w:r>
                    <w:rPr>
                      <w:rFonts w:hint="eastAsia"/>
                      <w:color w:val="auto"/>
                      <w:highlight w:val="none"/>
                    </w:rPr>
                    <w:t>设备收集桶内收集的废切削液倒入回收桶内，加盖储存，可重新回用于生产，</w:t>
                  </w:r>
                  <w:r>
                    <w:rPr>
                      <w:rFonts w:hint="eastAsia"/>
                      <w:color w:val="auto"/>
                      <w:highlight w:val="none"/>
                      <w:lang w:eastAsia="zh-CN"/>
                    </w:rPr>
                    <w:t>定期更换；</w:t>
                  </w:r>
                  <w:r>
                    <w:rPr>
                      <w:rFonts w:hint="eastAsia"/>
                      <w:color w:val="auto"/>
                      <w:highlight w:val="none"/>
                    </w:rPr>
                    <w:t>离心后的废金属屑袋装收集储存不落地</w:t>
                  </w:r>
                  <w:r>
                    <w:rPr>
                      <w:rFonts w:hint="eastAsia"/>
                      <w:color w:val="auto"/>
                      <w:highlight w:val="none"/>
                      <w:lang w:eastAsia="zh-CN"/>
                    </w:rPr>
                    <w:t>，集中收集后外售</w:t>
                  </w:r>
                </w:p>
              </w:tc>
              <w:tc>
                <w:tcPr>
                  <w:tcW w:w="550"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739" w:type="dxa"/>
                  <w:tcMar>
                    <w:left w:w="28" w:type="dxa"/>
                    <w:right w:w="28" w:type="dxa"/>
                  </w:tcMar>
                  <w:vAlign w:val="center"/>
                </w:tcPr>
                <w:p>
                  <w:pPr>
                    <w:overflowPunct w:val="0"/>
                    <w:autoSpaceDE w:val="0"/>
                    <w:autoSpaceDN w:val="0"/>
                    <w:adjustRightInd w:val="0"/>
                    <w:snapToGrid w:val="0"/>
                    <w:spacing w:line="0" w:lineRule="atLeast"/>
                    <w:jc w:val="center"/>
                    <w:rPr>
                      <w:rFonts w:hint="default"/>
                      <w:color w:val="auto"/>
                      <w:sz w:val="21"/>
                      <w:szCs w:val="21"/>
                      <w:highlight w:val="none"/>
                      <w:lang w:val="en-US" w:eastAsia="zh-CN"/>
                    </w:rPr>
                  </w:pPr>
                  <w:r>
                    <w:rPr>
                      <w:rFonts w:hint="eastAsia"/>
                      <w:color w:val="auto"/>
                      <w:spacing w:val="6"/>
                      <w:sz w:val="21"/>
                      <w:szCs w:val="21"/>
                      <w:highlight w:val="none"/>
                      <w:lang w:val="en-US" w:eastAsia="zh-CN"/>
                    </w:rPr>
                    <w:t>0.5</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522" w:type="dxa"/>
                  <w:vMerge w:val="continue"/>
                  <w:tcMar>
                    <w:left w:w="28" w:type="dxa"/>
                    <w:right w:w="28" w:type="dxa"/>
                  </w:tcMar>
                  <w:vAlign w:val="center"/>
                </w:tcPr>
                <w:p>
                  <w:pPr>
                    <w:spacing w:line="0" w:lineRule="atLeast"/>
                    <w:jc w:val="center"/>
                    <w:rPr>
                      <w:snapToGrid w:val="0"/>
                      <w:color w:val="auto"/>
                      <w:sz w:val="21"/>
                      <w:szCs w:val="21"/>
                      <w:highlight w:val="none"/>
                    </w:rPr>
                  </w:pPr>
                </w:p>
              </w:tc>
              <w:tc>
                <w:tcPr>
                  <w:tcW w:w="1864" w:type="dxa"/>
                  <w:vMerge w:val="continue"/>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9" w:type="dxa"/>
                  <w:gridSpan w:val="2"/>
                  <w:vMerge w:val="continue"/>
                  <w:tcMar>
                    <w:left w:w="28" w:type="dxa"/>
                    <w:right w:w="28" w:type="dxa"/>
                  </w:tcMar>
                  <w:vAlign w:val="center"/>
                </w:tcPr>
                <w:p>
                  <w:pPr>
                    <w:spacing w:line="0" w:lineRule="atLeast"/>
                    <w:jc w:val="center"/>
                    <w:rPr>
                      <w:color w:val="auto"/>
                      <w:sz w:val="21"/>
                      <w:szCs w:val="21"/>
                      <w:highlight w:val="none"/>
                    </w:rPr>
                  </w:pPr>
                </w:p>
              </w:tc>
              <w:tc>
                <w:tcPr>
                  <w:tcW w:w="964" w:type="dxa"/>
                  <w:vMerge w:val="restart"/>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设备运转维修</w:t>
                  </w:r>
                  <w:r>
                    <w:rPr>
                      <w:rFonts w:hint="eastAsia"/>
                      <w:color w:val="auto"/>
                      <w:szCs w:val="21"/>
                      <w:highlight w:val="none"/>
                      <w:lang w:eastAsia="zh-CN"/>
                    </w:rPr>
                    <w:t>、铣床</w:t>
                  </w:r>
                </w:p>
              </w:tc>
              <w:tc>
                <w:tcPr>
                  <w:tcW w:w="880" w:type="dxa"/>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废切削液</w:t>
                  </w:r>
                </w:p>
              </w:tc>
              <w:tc>
                <w:tcPr>
                  <w:tcW w:w="2606" w:type="dxa"/>
                  <w:vMerge w:val="restart"/>
                  <w:tcMar>
                    <w:left w:w="28" w:type="dxa"/>
                    <w:right w:w="28" w:type="dxa"/>
                  </w:tcMar>
                  <w:vAlign w:val="center"/>
                </w:tcPr>
                <w:p>
                  <w:pPr>
                    <w:spacing w:line="0" w:lineRule="atLeast"/>
                    <w:jc w:val="center"/>
                    <w:rPr>
                      <w:color w:val="auto"/>
                      <w:szCs w:val="21"/>
                      <w:highlight w:val="none"/>
                    </w:rPr>
                  </w:pPr>
                  <w:r>
                    <w:rPr>
                      <w:color w:val="auto"/>
                      <w:szCs w:val="21"/>
                      <w:highlight w:val="none"/>
                    </w:rPr>
                    <w:t>暂存于危废暂存间，委托有资质的单位处理</w:t>
                  </w:r>
                </w:p>
                <w:p>
                  <w:pPr>
                    <w:widowControl/>
                    <w:tabs>
                      <w:tab w:val="left" w:pos="2951"/>
                    </w:tabs>
                    <w:jc w:val="center"/>
                    <w:rPr>
                      <w:rFonts w:hint="eastAsia" w:ascii="Times New Roman" w:hAnsi="Times New Roman" w:eastAsia="宋体" w:cs="Times New Roman"/>
                      <w:color w:val="auto"/>
                      <w:sz w:val="21"/>
                      <w:szCs w:val="21"/>
                      <w:highlight w:val="none"/>
                      <w:lang w:val="zh-CN" w:eastAsia="zh-CN" w:bidi="he-IL"/>
                    </w:rPr>
                  </w:pPr>
                </w:p>
              </w:tc>
              <w:tc>
                <w:tcPr>
                  <w:tcW w:w="550"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739" w:type="dxa"/>
                  <w:tcMar>
                    <w:left w:w="28" w:type="dxa"/>
                    <w:right w:w="28" w:type="dxa"/>
                  </w:tcMar>
                  <w:vAlign w:val="center"/>
                </w:tcPr>
                <w:p>
                  <w:pPr>
                    <w:overflowPunct w:val="0"/>
                    <w:autoSpaceDE w:val="0"/>
                    <w:autoSpaceDN w:val="0"/>
                    <w:adjustRightInd w:val="0"/>
                    <w:snapToGrid w:val="0"/>
                    <w:spacing w:line="0" w:lineRule="atLeast"/>
                    <w:jc w:val="center"/>
                    <w:rPr>
                      <w:rFonts w:hint="default"/>
                      <w:color w:val="auto"/>
                      <w:spacing w:val="6"/>
                      <w:sz w:val="21"/>
                      <w:szCs w:val="21"/>
                      <w:highlight w:val="none"/>
                      <w:lang w:val="en-US" w:eastAsia="zh-CN"/>
                    </w:rPr>
                  </w:pPr>
                  <w:r>
                    <w:rPr>
                      <w:rFonts w:hint="eastAsia"/>
                      <w:color w:val="auto"/>
                      <w:spacing w:val="6"/>
                      <w:sz w:val="21"/>
                      <w:szCs w:val="21"/>
                      <w:highlight w:val="none"/>
                      <w:lang w:val="en-US" w:eastAsia="zh-CN"/>
                    </w:rPr>
                    <w:t>0.1</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522" w:type="dxa"/>
                  <w:vMerge w:val="continue"/>
                  <w:tcMar>
                    <w:left w:w="28" w:type="dxa"/>
                    <w:right w:w="28" w:type="dxa"/>
                  </w:tcMar>
                  <w:vAlign w:val="center"/>
                </w:tcPr>
                <w:p>
                  <w:pPr>
                    <w:spacing w:line="0" w:lineRule="atLeast"/>
                    <w:jc w:val="center"/>
                    <w:rPr>
                      <w:snapToGrid w:val="0"/>
                      <w:color w:val="auto"/>
                      <w:sz w:val="21"/>
                      <w:szCs w:val="21"/>
                      <w:highlight w:val="none"/>
                    </w:rPr>
                  </w:pPr>
                </w:p>
              </w:tc>
              <w:tc>
                <w:tcPr>
                  <w:tcW w:w="1864" w:type="dxa"/>
                  <w:vMerge w:val="continue"/>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9" w:type="dxa"/>
                  <w:gridSpan w:val="2"/>
                  <w:vMerge w:val="continue"/>
                  <w:tcMar>
                    <w:left w:w="28" w:type="dxa"/>
                    <w:right w:w="28" w:type="dxa"/>
                  </w:tcMar>
                  <w:vAlign w:val="center"/>
                </w:tcPr>
                <w:p>
                  <w:pPr>
                    <w:spacing w:line="0" w:lineRule="atLeast"/>
                    <w:jc w:val="center"/>
                    <w:rPr>
                      <w:color w:val="auto"/>
                      <w:sz w:val="21"/>
                      <w:szCs w:val="21"/>
                      <w:highlight w:val="none"/>
                    </w:rPr>
                  </w:pPr>
                </w:p>
              </w:tc>
              <w:tc>
                <w:tcPr>
                  <w:tcW w:w="964" w:type="dxa"/>
                  <w:vMerge w:val="continue"/>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p>
              </w:tc>
              <w:tc>
                <w:tcPr>
                  <w:tcW w:w="880" w:type="dxa"/>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废润滑油</w:t>
                  </w:r>
                </w:p>
              </w:tc>
              <w:tc>
                <w:tcPr>
                  <w:tcW w:w="2606" w:type="dxa"/>
                  <w:vMerge w:val="continue"/>
                  <w:tcMar>
                    <w:left w:w="28" w:type="dxa"/>
                    <w:right w:w="28" w:type="dxa"/>
                  </w:tcMar>
                  <w:vAlign w:val="center"/>
                </w:tcPr>
                <w:p>
                  <w:pPr>
                    <w:widowControl/>
                    <w:tabs>
                      <w:tab w:val="left" w:pos="2951"/>
                    </w:tabs>
                    <w:jc w:val="center"/>
                    <w:rPr>
                      <w:rFonts w:hint="eastAsia" w:ascii="Times New Roman" w:hAnsi="Times New Roman" w:eastAsia="宋体" w:cs="Times New Roman"/>
                      <w:color w:val="auto"/>
                      <w:sz w:val="21"/>
                      <w:szCs w:val="21"/>
                      <w:highlight w:val="none"/>
                      <w:lang w:val="en-US" w:eastAsia="zh-CN" w:bidi="he-IL"/>
                    </w:rPr>
                  </w:pPr>
                </w:p>
              </w:tc>
              <w:tc>
                <w:tcPr>
                  <w:tcW w:w="550" w:type="dxa"/>
                  <w:tcMar>
                    <w:left w:w="28" w:type="dxa"/>
                    <w:right w:w="28" w:type="dxa"/>
                  </w:tcMar>
                  <w:vAlign w:val="center"/>
                </w:tcPr>
                <w:p>
                  <w:pPr>
                    <w:adjustRightInd w:val="0"/>
                    <w:snapToGrid w:val="0"/>
                    <w:spacing w:line="0" w:lineRule="atLeast"/>
                    <w:jc w:val="center"/>
                    <w:textAlignment w:val="center"/>
                    <w:rPr>
                      <w:rFonts w:ascii="Times New Roman" w:hAnsi="Times New Roman" w:eastAsia="宋体" w:cs="Times New Roman"/>
                      <w:snapToGrid w:val="0"/>
                      <w:color w:val="auto"/>
                      <w:kern w:val="2"/>
                      <w:sz w:val="21"/>
                      <w:szCs w:val="21"/>
                      <w:highlight w:val="none"/>
                      <w:lang w:val="en-US" w:eastAsia="zh-CN" w:bidi="ar-SA"/>
                    </w:rPr>
                  </w:pPr>
                  <w:r>
                    <w:rPr>
                      <w:snapToGrid w:val="0"/>
                      <w:color w:val="auto"/>
                      <w:sz w:val="21"/>
                      <w:szCs w:val="21"/>
                      <w:highlight w:val="none"/>
                    </w:rPr>
                    <w:t>—</w:t>
                  </w:r>
                </w:p>
              </w:tc>
              <w:tc>
                <w:tcPr>
                  <w:tcW w:w="739" w:type="dxa"/>
                  <w:tcMar>
                    <w:left w:w="28" w:type="dxa"/>
                    <w:right w:w="28" w:type="dxa"/>
                  </w:tcMar>
                  <w:vAlign w:val="center"/>
                </w:tcPr>
                <w:p>
                  <w:pPr>
                    <w:overflowPunct w:val="0"/>
                    <w:autoSpaceDE w:val="0"/>
                    <w:autoSpaceDN w:val="0"/>
                    <w:adjustRightInd w:val="0"/>
                    <w:snapToGrid w:val="0"/>
                    <w:spacing w:line="0" w:lineRule="atLeast"/>
                    <w:jc w:val="center"/>
                    <w:rPr>
                      <w:rFonts w:hint="default" w:ascii="Times New Roman" w:hAnsi="Times New Roman" w:eastAsia="宋体" w:cs="Times New Roman"/>
                      <w:color w:val="auto"/>
                      <w:spacing w:val="6"/>
                      <w:kern w:val="2"/>
                      <w:sz w:val="21"/>
                      <w:szCs w:val="21"/>
                      <w:highlight w:val="none"/>
                      <w:lang w:val="en-US" w:eastAsia="zh-CN" w:bidi="ar-SA"/>
                    </w:rPr>
                  </w:pPr>
                  <w:r>
                    <w:rPr>
                      <w:rFonts w:hint="eastAsia" w:cs="Times New Roman"/>
                      <w:color w:val="auto"/>
                      <w:spacing w:val="6"/>
                      <w:kern w:val="2"/>
                      <w:sz w:val="21"/>
                      <w:szCs w:val="21"/>
                      <w:highlight w:val="none"/>
                      <w:lang w:val="en-US" w:eastAsia="zh-CN" w:bidi="ar-SA"/>
                    </w:rPr>
                    <w:t>0.1</w:t>
                  </w:r>
                </w:p>
              </w:tc>
              <w:tc>
                <w:tcPr>
                  <w:tcW w:w="785" w:type="dxa"/>
                  <w:tcMar>
                    <w:left w:w="28" w:type="dxa"/>
                    <w:right w:w="28" w:type="dxa"/>
                  </w:tcMar>
                  <w:vAlign w:val="center"/>
                </w:tcPr>
                <w:p>
                  <w:pPr>
                    <w:adjustRightInd w:val="0"/>
                    <w:snapToGrid w:val="0"/>
                    <w:spacing w:line="0" w:lineRule="atLeast"/>
                    <w:jc w:val="center"/>
                    <w:textAlignment w:val="center"/>
                    <w:rPr>
                      <w:rFonts w:ascii="Times New Roman" w:hAnsi="Times New Roman" w:eastAsia="宋体" w:cs="Times New Roman"/>
                      <w:snapToGrid w:val="0"/>
                      <w:color w:val="auto"/>
                      <w:kern w:val="2"/>
                      <w:sz w:val="21"/>
                      <w:szCs w:val="21"/>
                      <w:highlight w:val="none"/>
                      <w:lang w:val="en-US" w:eastAsia="zh-CN" w:bidi="ar-SA"/>
                    </w:rPr>
                  </w:pPr>
                  <w:r>
                    <w:rPr>
                      <w:snapToGrid w:val="0"/>
                      <w:color w:val="auto"/>
                      <w:sz w:val="21"/>
                      <w:szCs w:val="21"/>
                      <w:highlight w:val="none"/>
                    </w:rPr>
                    <w:t>—</w:t>
                  </w:r>
                </w:p>
              </w:tc>
              <w:tc>
                <w:tcPr>
                  <w:tcW w:w="522" w:type="dxa"/>
                  <w:vMerge w:val="continue"/>
                  <w:tcMar>
                    <w:left w:w="28" w:type="dxa"/>
                    <w:right w:w="28" w:type="dxa"/>
                  </w:tcMar>
                  <w:vAlign w:val="center"/>
                </w:tcPr>
                <w:p>
                  <w:pPr>
                    <w:spacing w:line="0" w:lineRule="atLeast"/>
                    <w:jc w:val="center"/>
                    <w:rPr>
                      <w:snapToGrid w:val="0"/>
                      <w:color w:val="auto"/>
                      <w:sz w:val="21"/>
                      <w:szCs w:val="21"/>
                      <w:highlight w:val="none"/>
                    </w:rPr>
                  </w:pPr>
                </w:p>
              </w:tc>
              <w:tc>
                <w:tcPr>
                  <w:tcW w:w="1864" w:type="dxa"/>
                  <w:vMerge w:val="continue"/>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9" w:type="dxa"/>
                  <w:gridSpan w:val="2"/>
                  <w:vMerge w:val="continue"/>
                  <w:tcMar>
                    <w:left w:w="28" w:type="dxa"/>
                    <w:right w:w="28" w:type="dxa"/>
                  </w:tcMar>
                  <w:vAlign w:val="center"/>
                </w:tcPr>
                <w:p>
                  <w:pPr>
                    <w:spacing w:line="0" w:lineRule="atLeast"/>
                    <w:jc w:val="center"/>
                    <w:rPr>
                      <w:color w:val="auto"/>
                      <w:sz w:val="21"/>
                      <w:szCs w:val="21"/>
                      <w:highlight w:val="none"/>
                    </w:rPr>
                  </w:pPr>
                </w:p>
              </w:tc>
              <w:tc>
                <w:tcPr>
                  <w:tcW w:w="964" w:type="dxa"/>
                  <w:vMerge w:val="continue"/>
                  <w:tcMar>
                    <w:left w:w="28" w:type="dxa"/>
                    <w:right w:w="28" w:type="dxa"/>
                  </w:tcMar>
                  <w:vAlign w:val="center"/>
                </w:tcPr>
                <w:p>
                  <w:pPr>
                    <w:widowControl/>
                    <w:tabs>
                      <w:tab w:val="left" w:pos="2951"/>
                    </w:tabs>
                    <w:jc w:val="center"/>
                    <w:rPr>
                      <w:rFonts w:hint="eastAsia" w:ascii="Times New Roman" w:hAnsi="Times New Roman" w:eastAsia="宋体" w:cs="Times New Roman"/>
                      <w:color w:val="auto"/>
                      <w:sz w:val="21"/>
                      <w:szCs w:val="21"/>
                      <w:highlight w:val="none"/>
                      <w:lang w:val="zh-CN" w:eastAsia="zh-CN" w:bidi="he-IL"/>
                    </w:rPr>
                  </w:pPr>
                </w:p>
              </w:tc>
              <w:tc>
                <w:tcPr>
                  <w:tcW w:w="880" w:type="dxa"/>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废液压油</w:t>
                  </w:r>
                </w:p>
              </w:tc>
              <w:tc>
                <w:tcPr>
                  <w:tcW w:w="2606" w:type="dxa"/>
                  <w:vMerge w:val="continue"/>
                  <w:tcMar>
                    <w:left w:w="28" w:type="dxa"/>
                    <w:right w:w="28" w:type="dxa"/>
                  </w:tcMar>
                  <w:vAlign w:val="center"/>
                </w:tcPr>
                <w:p>
                  <w:pPr>
                    <w:widowControl/>
                    <w:tabs>
                      <w:tab w:val="left" w:pos="2951"/>
                    </w:tabs>
                    <w:jc w:val="center"/>
                    <w:rPr>
                      <w:rFonts w:hint="eastAsia" w:ascii="Times New Roman" w:hAnsi="Times New Roman" w:eastAsia="宋体" w:cs="Times New Roman"/>
                      <w:color w:val="auto"/>
                      <w:sz w:val="21"/>
                      <w:szCs w:val="21"/>
                      <w:highlight w:val="none"/>
                      <w:lang w:val="zh-CN" w:eastAsia="zh-CN" w:bidi="he-IL"/>
                    </w:rPr>
                  </w:pPr>
                </w:p>
              </w:tc>
              <w:tc>
                <w:tcPr>
                  <w:tcW w:w="550"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739" w:type="dxa"/>
                  <w:tcMar>
                    <w:left w:w="28" w:type="dxa"/>
                    <w:right w:w="28" w:type="dxa"/>
                  </w:tcMar>
                  <w:vAlign w:val="center"/>
                </w:tcPr>
                <w:p>
                  <w:pPr>
                    <w:overflowPunct w:val="0"/>
                    <w:autoSpaceDE w:val="0"/>
                    <w:autoSpaceDN w:val="0"/>
                    <w:adjustRightInd w:val="0"/>
                    <w:snapToGrid w:val="0"/>
                    <w:spacing w:line="0" w:lineRule="atLeast"/>
                    <w:jc w:val="center"/>
                    <w:rPr>
                      <w:rFonts w:hint="default"/>
                      <w:color w:val="auto"/>
                      <w:spacing w:val="6"/>
                      <w:sz w:val="21"/>
                      <w:szCs w:val="21"/>
                      <w:highlight w:val="none"/>
                      <w:lang w:val="en-US" w:eastAsia="zh-CN"/>
                    </w:rPr>
                  </w:pPr>
                  <w:r>
                    <w:rPr>
                      <w:rFonts w:hint="eastAsia"/>
                      <w:color w:val="auto"/>
                      <w:spacing w:val="6"/>
                      <w:sz w:val="21"/>
                      <w:szCs w:val="21"/>
                      <w:highlight w:val="none"/>
                      <w:lang w:val="en-US" w:eastAsia="zh-CN"/>
                    </w:rPr>
                    <w:t>0.1</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522" w:type="dxa"/>
                  <w:vMerge w:val="continue"/>
                  <w:tcMar>
                    <w:left w:w="28" w:type="dxa"/>
                    <w:right w:w="28" w:type="dxa"/>
                  </w:tcMar>
                  <w:vAlign w:val="center"/>
                </w:tcPr>
                <w:p>
                  <w:pPr>
                    <w:spacing w:line="0" w:lineRule="atLeast"/>
                    <w:jc w:val="center"/>
                    <w:rPr>
                      <w:snapToGrid w:val="0"/>
                      <w:color w:val="auto"/>
                      <w:sz w:val="21"/>
                      <w:szCs w:val="21"/>
                      <w:highlight w:val="none"/>
                    </w:rPr>
                  </w:pPr>
                </w:p>
              </w:tc>
              <w:tc>
                <w:tcPr>
                  <w:tcW w:w="1864" w:type="dxa"/>
                  <w:vMerge w:val="restart"/>
                  <w:tcMar>
                    <w:left w:w="28" w:type="dxa"/>
                    <w:right w:w="28" w:type="dxa"/>
                  </w:tcMar>
                  <w:vAlign w:val="center"/>
                </w:tcPr>
                <w:p>
                  <w:pPr>
                    <w:adjustRightInd w:val="0"/>
                    <w:snapToGrid w:val="0"/>
                    <w:spacing w:line="0" w:lineRule="atLeast"/>
                    <w:jc w:val="center"/>
                    <w:textAlignment w:val="center"/>
                    <w:rPr>
                      <w:rFonts w:ascii="Times New Roman" w:hAnsi="Times New Roman" w:eastAsia="宋体" w:cs="Times New Roman"/>
                      <w:color w:val="auto"/>
                      <w:kern w:val="2"/>
                      <w:sz w:val="21"/>
                      <w:szCs w:val="21"/>
                      <w:highlight w:val="none"/>
                      <w:lang w:val="en-US" w:eastAsia="zh-CN" w:bidi="ar-SA"/>
                    </w:rPr>
                  </w:pPr>
                  <w:r>
                    <w:rPr>
                      <w:snapToGrid w:val="0"/>
                      <w:color w:val="auto"/>
                      <w:sz w:val="21"/>
                      <w:szCs w:val="21"/>
                      <w:highlight w:val="none"/>
                    </w:rPr>
                    <w:t>危险固废《危险废物贮存污染控制标准》（GB18597－2001）及2013年修改单（公告2013年第36号）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9" w:type="dxa"/>
                  <w:gridSpan w:val="2"/>
                  <w:vMerge w:val="continue"/>
                  <w:tcMar>
                    <w:left w:w="28" w:type="dxa"/>
                    <w:right w:w="28" w:type="dxa"/>
                  </w:tcMar>
                  <w:vAlign w:val="center"/>
                </w:tcPr>
                <w:p>
                  <w:pPr>
                    <w:spacing w:line="0" w:lineRule="atLeast"/>
                    <w:jc w:val="center"/>
                    <w:rPr>
                      <w:color w:val="auto"/>
                      <w:sz w:val="21"/>
                      <w:szCs w:val="21"/>
                      <w:highlight w:val="none"/>
                    </w:rPr>
                  </w:pPr>
                </w:p>
              </w:tc>
              <w:tc>
                <w:tcPr>
                  <w:tcW w:w="964" w:type="dxa"/>
                  <w:vMerge w:val="continue"/>
                  <w:tcMar>
                    <w:left w:w="28" w:type="dxa"/>
                    <w:right w:w="28" w:type="dxa"/>
                  </w:tcMar>
                  <w:vAlign w:val="center"/>
                </w:tcPr>
                <w:p>
                  <w:pPr>
                    <w:widowControl/>
                    <w:tabs>
                      <w:tab w:val="left" w:pos="2951"/>
                    </w:tabs>
                    <w:jc w:val="center"/>
                    <w:rPr>
                      <w:rFonts w:hint="eastAsia" w:ascii="Times New Roman" w:hAnsi="Times New Roman" w:eastAsia="宋体" w:cs="Times New Roman"/>
                      <w:color w:val="auto"/>
                      <w:sz w:val="21"/>
                      <w:szCs w:val="21"/>
                      <w:highlight w:val="none"/>
                      <w:lang w:val="en-US" w:eastAsia="zh-CN" w:bidi="he-IL"/>
                    </w:rPr>
                  </w:pPr>
                </w:p>
              </w:tc>
              <w:tc>
                <w:tcPr>
                  <w:tcW w:w="880" w:type="dxa"/>
                  <w:tcMar>
                    <w:left w:w="28" w:type="dxa"/>
                    <w:right w:w="28" w:type="dxa"/>
                  </w:tcMar>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废包装桶</w:t>
                  </w:r>
                </w:p>
              </w:tc>
              <w:tc>
                <w:tcPr>
                  <w:tcW w:w="2606" w:type="dxa"/>
                  <w:vMerge w:val="continue"/>
                  <w:tcMar>
                    <w:left w:w="28" w:type="dxa"/>
                    <w:right w:w="28" w:type="dxa"/>
                  </w:tcMar>
                  <w:vAlign w:val="center"/>
                </w:tcPr>
                <w:p>
                  <w:pPr>
                    <w:widowControl/>
                    <w:tabs>
                      <w:tab w:val="left" w:pos="2951"/>
                    </w:tabs>
                    <w:jc w:val="center"/>
                    <w:rPr>
                      <w:rFonts w:hint="eastAsia" w:ascii="Times New Roman" w:hAnsi="Times New Roman" w:eastAsia="宋体" w:cs="Times New Roman"/>
                      <w:color w:val="auto"/>
                      <w:sz w:val="21"/>
                      <w:szCs w:val="21"/>
                      <w:highlight w:val="none"/>
                      <w:lang w:val="zh-CN" w:eastAsia="zh-CN" w:bidi="he-IL"/>
                    </w:rPr>
                  </w:pPr>
                </w:p>
              </w:tc>
              <w:tc>
                <w:tcPr>
                  <w:tcW w:w="550"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739" w:type="dxa"/>
                  <w:tcMar>
                    <w:left w:w="28" w:type="dxa"/>
                    <w:right w:w="28" w:type="dxa"/>
                  </w:tcMar>
                  <w:vAlign w:val="center"/>
                </w:tcPr>
                <w:p>
                  <w:pPr>
                    <w:overflowPunct w:val="0"/>
                    <w:autoSpaceDE w:val="0"/>
                    <w:autoSpaceDN w:val="0"/>
                    <w:adjustRightInd w:val="0"/>
                    <w:snapToGrid w:val="0"/>
                    <w:spacing w:line="0" w:lineRule="atLeast"/>
                    <w:jc w:val="center"/>
                    <w:rPr>
                      <w:rFonts w:hint="eastAsia"/>
                      <w:color w:val="auto"/>
                      <w:spacing w:val="6"/>
                      <w:sz w:val="21"/>
                      <w:szCs w:val="21"/>
                      <w:highlight w:val="none"/>
                      <w:lang w:val="en-US" w:eastAsia="zh-CN"/>
                    </w:rPr>
                  </w:pPr>
                  <w:r>
                    <w:rPr>
                      <w:rFonts w:hint="eastAsia"/>
                      <w:color w:val="auto"/>
                      <w:spacing w:val="6"/>
                      <w:sz w:val="21"/>
                      <w:szCs w:val="21"/>
                      <w:highlight w:val="none"/>
                      <w:lang w:val="en-US" w:eastAsia="zh-CN"/>
                    </w:rPr>
                    <w:t>48个</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522" w:type="dxa"/>
                  <w:vMerge w:val="continue"/>
                  <w:tcMar>
                    <w:left w:w="28" w:type="dxa"/>
                    <w:right w:w="28" w:type="dxa"/>
                  </w:tcMar>
                  <w:vAlign w:val="center"/>
                </w:tcPr>
                <w:p>
                  <w:pPr>
                    <w:spacing w:line="0" w:lineRule="atLeast"/>
                    <w:jc w:val="center"/>
                    <w:rPr>
                      <w:snapToGrid w:val="0"/>
                      <w:color w:val="auto"/>
                      <w:sz w:val="21"/>
                      <w:szCs w:val="21"/>
                      <w:highlight w:val="none"/>
                    </w:rPr>
                  </w:pPr>
                </w:p>
              </w:tc>
              <w:tc>
                <w:tcPr>
                  <w:tcW w:w="1864" w:type="dxa"/>
                  <w:vMerge w:val="continue"/>
                  <w:tcMar>
                    <w:left w:w="28" w:type="dxa"/>
                    <w:right w:w="28" w:type="dxa"/>
                  </w:tcMar>
                  <w:vAlign w:val="center"/>
                </w:tcPr>
                <w:p>
                  <w:pPr>
                    <w:adjustRightInd w:val="0"/>
                    <w:snapToGrid w:val="0"/>
                    <w:spacing w:line="0" w:lineRule="atLeast"/>
                    <w:jc w:val="center"/>
                    <w:textAlignment w:val="center"/>
                    <w:rPr>
                      <w:rFonts w:ascii="Times New Roman" w:hAnsi="Times New Roman" w:eastAsia="宋体" w:cs="Times New Roman"/>
                      <w:color w:val="auto"/>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9" w:type="dxa"/>
                  <w:gridSpan w:val="2"/>
                  <w:vMerge w:val="continue"/>
                  <w:tcMar>
                    <w:left w:w="28" w:type="dxa"/>
                    <w:right w:w="28" w:type="dxa"/>
                  </w:tcMar>
                  <w:vAlign w:val="center"/>
                </w:tcPr>
                <w:p>
                  <w:pPr>
                    <w:spacing w:line="0" w:lineRule="atLeast"/>
                    <w:jc w:val="center"/>
                    <w:rPr>
                      <w:color w:val="auto"/>
                      <w:sz w:val="21"/>
                      <w:szCs w:val="21"/>
                      <w:highlight w:val="none"/>
                    </w:rPr>
                  </w:pPr>
                </w:p>
              </w:tc>
              <w:tc>
                <w:tcPr>
                  <w:tcW w:w="964" w:type="dxa"/>
                  <w:tcMar>
                    <w:left w:w="28" w:type="dxa"/>
                    <w:right w:w="28" w:type="dxa"/>
                  </w:tcMar>
                  <w:vAlign w:val="center"/>
                </w:tcPr>
                <w:p>
                  <w:pPr>
                    <w:widowControl/>
                    <w:tabs>
                      <w:tab w:val="left" w:pos="2951"/>
                    </w:tabs>
                    <w:jc w:val="center"/>
                    <w:rPr>
                      <w:rFonts w:hint="eastAsia" w:ascii="Times New Roman" w:hAnsi="Times New Roman" w:eastAsia="宋体" w:cs="Times New Roman"/>
                      <w:color w:val="auto"/>
                      <w:sz w:val="21"/>
                      <w:szCs w:val="21"/>
                      <w:highlight w:val="none"/>
                      <w:lang w:val="en-US" w:eastAsia="zh-CN" w:bidi="he-IL"/>
                    </w:rPr>
                  </w:pPr>
                  <w:r>
                    <w:rPr>
                      <w:rFonts w:hint="eastAsia" w:cs="Times New Roman"/>
                      <w:color w:val="auto"/>
                      <w:sz w:val="21"/>
                      <w:szCs w:val="21"/>
                      <w:highlight w:val="none"/>
                      <w:lang w:val="en-US" w:eastAsia="zh-CN" w:bidi="he-IL"/>
                    </w:rPr>
                    <w:t>设备维修</w:t>
                  </w:r>
                </w:p>
              </w:tc>
              <w:tc>
                <w:tcPr>
                  <w:tcW w:w="880" w:type="dxa"/>
                  <w:tcMar>
                    <w:left w:w="28" w:type="dxa"/>
                    <w:right w:w="28" w:type="dxa"/>
                  </w:tcMar>
                  <w:vAlign w:val="center"/>
                </w:tcPr>
                <w:p>
                  <w:pPr>
                    <w:tabs>
                      <w:tab w:val="left" w:pos="2604"/>
                    </w:tabs>
                    <w:jc w:val="center"/>
                    <w:rPr>
                      <w:rFonts w:hint="eastAsia"/>
                      <w:color w:val="auto"/>
                      <w:szCs w:val="21"/>
                      <w:highlight w:val="none"/>
                      <w:lang w:eastAsia="zh-CN"/>
                    </w:rPr>
                  </w:pPr>
                  <w:r>
                    <w:rPr>
                      <w:rFonts w:hint="eastAsia"/>
                      <w:color w:val="auto"/>
                      <w:szCs w:val="21"/>
                      <w:highlight w:val="none"/>
                      <w:lang w:eastAsia="zh-CN"/>
                    </w:rPr>
                    <w:t>含油废抹布及废手套</w:t>
                  </w:r>
                </w:p>
              </w:tc>
              <w:tc>
                <w:tcPr>
                  <w:tcW w:w="2606" w:type="dxa"/>
                  <w:vMerge w:val="continue"/>
                  <w:tcMar>
                    <w:left w:w="28" w:type="dxa"/>
                    <w:right w:w="28" w:type="dxa"/>
                  </w:tcMar>
                  <w:vAlign w:val="center"/>
                </w:tcPr>
                <w:p>
                  <w:pPr>
                    <w:widowControl/>
                    <w:tabs>
                      <w:tab w:val="left" w:pos="2951"/>
                    </w:tabs>
                    <w:jc w:val="center"/>
                    <w:rPr>
                      <w:rFonts w:hint="eastAsia" w:ascii="Times New Roman" w:hAnsi="Times New Roman" w:eastAsia="宋体" w:cs="Times New Roman"/>
                      <w:color w:val="auto"/>
                      <w:sz w:val="21"/>
                      <w:szCs w:val="21"/>
                      <w:highlight w:val="none"/>
                      <w:lang w:val="zh-CN" w:eastAsia="zh-CN" w:bidi="he-IL"/>
                    </w:rPr>
                  </w:pPr>
                </w:p>
              </w:tc>
              <w:tc>
                <w:tcPr>
                  <w:tcW w:w="550"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739" w:type="dxa"/>
                  <w:tcMar>
                    <w:left w:w="28" w:type="dxa"/>
                    <w:right w:w="28" w:type="dxa"/>
                  </w:tcMar>
                  <w:vAlign w:val="center"/>
                </w:tcPr>
                <w:p>
                  <w:pPr>
                    <w:overflowPunct w:val="0"/>
                    <w:autoSpaceDE w:val="0"/>
                    <w:autoSpaceDN w:val="0"/>
                    <w:adjustRightInd w:val="0"/>
                    <w:snapToGrid w:val="0"/>
                    <w:spacing w:line="0" w:lineRule="atLeast"/>
                    <w:jc w:val="center"/>
                    <w:rPr>
                      <w:rFonts w:hint="default"/>
                      <w:color w:val="auto"/>
                      <w:spacing w:val="6"/>
                      <w:sz w:val="21"/>
                      <w:szCs w:val="21"/>
                      <w:highlight w:val="none"/>
                      <w:lang w:val="en-US" w:eastAsia="zh-CN"/>
                    </w:rPr>
                  </w:pPr>
                  <w:r>
                    <w:rPr>
                      <w:rFonts w:hint="eastAsia"/>
                      <w:color w:val="auto"/>
                      <w:spacing w:val="6"/>
                      <w:sz w:val="21"/>
                      <w:szCs w:val="21"/>
                      <w:highlight w:val="none"/>
                      <w:lang w:val="en-US" w:eastAsia="zh-CN"/>
                    </w:rPr>
                    <w:t>1.0</w:t>
                  </w:r>
                </w:p>
              </w:tc>
              <w:tc>
                <w:tcPr>
                  <w:tcW w:w="785" w:type="dxa"/>
                  <w:tcMar>
                    <w:left w:w="28" w:type="dxa"/>
                    <w:right w:w="28" w:type="dxa"/>
                  </w:tcMar>
                  <w:vAlign w:val="center"/>
                </w:tcPr>
                <w:p>
                  <w:pPr>
                    <w:adjustRightInd w:val="0"/>
                    <w:snapToGrid w:val="0"/>
                    <w:spacing w:line="0" w:lineRule="atLeast"/>
                    <w:jc w:val="center"/>
                    <w:textAlignment w:val="center"/>
                    <w:rPr>
                      <w:snapToGrid w:val="0"/>
                      <w:color w:val="auto"/>
                      <w:sz w:val="21"/>
                      <w:szCs w:val="21"/>
                      <w:highlight w:val="none"/>
                    </w:rPr>
                  </w:pPr>
                  <w:r>
                    <w:rPr>
                      <w:snapToGrid w:val="0"/>
                      <w:color w:val="auto"/>
                      <w:sz w:val="21"/>
                      <w:szCs w:val="21"/>
                      <w:highlight w:val="none"/>
                    </w:rPr>
                    <w:t>—</w:t>
                  </w:r>
                </w:p>
              </w:tc>
              <w:tc>
                <w:tcPr>
                  <w:tcW w:w="522" w:type="dxa"/>
                  <w:vMerge w:val="continue"/>
                  <w:tcMar>
                    <w:left w:w="28" w:type="dxa"/>
                    <w:right w:w="28" w:type="dxa"/>
                  </w:tcMar>
                  <w:vAlign w:val="center"/>
                </w:tcPr>
                <w:p>
                  <w:pPr>
                    <w:spacing w:line="0" w:lineRule="atLeast"/>
                    <w:jc w:val="center"/>
                    <w:rPr>
                      <w:snapToGrid w:val="0"/>
                      <w:color w:val="auto"/>
                      <w:sz w:val="21"/>
                      <w:szCs w:val="21"/>
                      <w:highlight w:val="none"/>
                    </w:rPr>
                  </w:pPr>
                </w:p>
              </w:tc>
              <w:tc>
                <w:tcPr>
                  <w:tcW w:w="1864" w:type="dxa"/>
                  <w:vMerge w:val="continue"/>
                  <w:tcMar>
                    <w:left w:w="28" w:type="dxa"/>
                    <w:right w:w="28" w:type="dxa"/>
                  </w:tcMar>
                  <w:vAlign w:val="center"/>
                </w:tcPr>
                <w:p>
                  <w:pPr>
                    <w:adjustRightInd w:val="0"/>
                    <w:snapToGrid w:val="0"/>
                    <w:spacing w:line="0" w:lineRule="atLeast"/>
                    <w:jc w:val="center"/>
                    <w:textAlignment w:val="center"/>
                    <w:rPr>
                      <w:rFonts w:ascii="Times New Roman" w:hAnsi="Times New Roman" w:eastAsia="宋体" w:cs="Times New Roman"/>
                      <w:color w:val="auto"/>
                      <w:kern w:val="2"/>
                      <w:sz w:val="21"/>
                      <w:szCs w:val="21"/>
                      <w:highlight w:val="none"/>
                      <w:lang w:val="en-US" w:eastAsia="zh-CN" w:bidi="ar-SA"/>
                    </w:rPr>
                  </w:pPr>
                </w:p>
              </w:tc>
            </w:tr>
          </w:tbl>
          <w:p>
            <w:pPr>
              <w:spacing w:line="360" w:lineRule="auto"/>
              <w:rPr>
                <w:b/>
                <w:color w:val="auto"/>
                <w:sz w:val="24"/>
                <w:szCs w:val="22"/>
                <w:highlight w:val="none"/>
              </w:rPr>
            </w:pPr>
            <w:r>
              <w:rPr>
                <w:rFonts w:hint="eastAsia"/>
                <w:b/>
                <w:color w:val="auto"/>
                <w:sz w:val="24"/>
                <w:szCs w:val="22"/>
                <w:highlight w:val="none"/>
              </w:rPr>
              <w:t>（1</w:t>
            </w:r>
            <w:r>
              <w:rPr>
                <w:rFonts w:hint="eastAsia"/>
                <w:b/>
                <w:color w:val="auto"/>
                <w:sz w:val="24"/>
                <w:szCs w:val="22"/>
                <w:highlight w:val="none"/>
                <w:lang w:val="en-US" w:eastAsia="zh-CN"/>
              </w:rPr>
              <w:t>2</w:t>
            </w:r>
            <w:r>
              <w:rPr>
                <w:rFonts w:hint="eastAsia"/>
                <w:b/>
                <w:color w:val="auto"/>
                <w:sz w:val="24"/>
                <w:szCs w:val="22"/>
                <w:highlight w:val="none"/>
              </w:rPr>
              <w:t>）</w:t>
            </w:r>
            <w:r>
              <w:rPr>
                <w:b/>
                <w:color w:val="auto"/>
                <w:sz w:val="24"/>
                <w:szCs w:val="22"/>
                <w:highlight w:val="none"/>
              </w:rPr>
              <w:t>环境监测计划</w:t>
            </w:r>
          </w:p>
          <w:p>
            <w:pPr>
              <w:spacing w:line="480" w:lineRule="exact"/>
              <w:ind w:firstLine="480" w:firstLineChars="200"/>
              <w:jc w:val="left"/>
              <w:rPr>
                <w:color w:val="auto"/>
                <w:sz w:val="24"/>
                <w:highlight w:val="none"/>
              </w:rPr>
            </w:pPr>
            <w:r>
              <w:rPr>
                <w:color w:val="auto"/>
                <w:sz w:val="24"/>
                <w:highlight w:val="none"/>
              </w:rPr>
              <w:t>环境监测计划是指项目在建设期、运行期对工程主要污染对象进行的环境样品、化验、数据处理以及编制报告，为环境管理部门强化环境管理，编制环保计划，制定污染防治对象，提供科学依据。</w:t>
            </w:r>
          </w:p>
          <w:p>
            <w:pPr>
              <w:adjustRightInd w:val="0"/>
              <w:snapToGrid w:val="0"/>
              <w:spacing w:line="480" w:lineRule="exact"/>
              <w:ind w:firstLine="480" w:firstLineChars="200"/>
              <w:jc w:val="left"/>
              <w:rPr>
                <w:color w:val="auto"/>
                <w:sz w:val="24"/>
                <w:highlight w:val="none"/>
              </w:rPr>
            </w:pPr>
            <w:r>
              <w:rPr>
                <w:color w:val="auto"/>
                <w:sz w:val="24"/>
                <w:highlight w:val="none"/>
              </w:rPr>
              <w:t>根据工程特点，污染源及污染物排放情况，提出如下监测要求：</w:t>
            </w:r>
          </w:p>
          <w:p>
            <w:pPr>
              <w:adjustRightInd w:val="0"/>
              <w:snapToGrid w:val="0"/>
              <w:spacing w:line="480" w:lineRule="exact"/>
              <w:ind w:firstLine="480" w:firstLineChars="200"/>
              <w:jc w:val="left"/>
              <w:rPr>
                <w:color w:val="auto"/>
                <w:sz w:val="24"/>
                <w:highlight w:val="none"/>
              </w:rPr>
            </w:pPr>
            <w:r>
              <w:rPr>
                <w:rFonts w:hint="eastAsia"/>
                <w:color w:val="auto"/>
                <w:sz w:val="24"/>
                <w:highlight w:val="none"/>
              </w:rPr>
              <w:t>①</w:t>
            </w:r>
            <w:r>
              <w:rPr>
                <w:color w:val="auto"/>
                <w:sz w:val="24"/>
                <w:highlight w:val="none"/>
              </w:rPr>
              <w:t>建设方应定期对产生的厂界噪声</w:t>
            </w:r>
            <w:r>
              <w:rPr>
                <w:rFonts w:hint="eastAsia"/>
                <w:color w:val="auto"/>
                <w:sz w:val="24"/>
                <w:highlight w:val="none"/>
              </w:rPr>
              <w:t>、废气</w:t>
            </w:r>
            <w:r>
              <w:rPr>
                <w:color w:val="auto"/>
                <w:sz w:val="24"/>
                <w:highlight w:val="none"/>
              </w:rPr>
              <w:t>进行监测。</w:t>
            </w:r>
          </w:p>
          <w:p>
            <w:pPr>
              <w:adjustRightInd w:val="0"/>
              <w:snapToGrid w:val="0"/>
              <w:spacing w:line="480" w:lineRule="exact"/>
              <w:ind w:firstLine="480" w:firstLineChars="200"/>
              <w:jc w:val="left"/>
              <w:rPr>
                <w:color w:val="auto"/>
                <w:sz w:val="24"/>
                <w:highlight w:val="none"/>
              </w:rPr>
            </w:pPr>
            <w:r>
              <w:rPr>
                <w:rFonts w:hint="eastAsia"/>
                <w:color w:val="auto"/>
                <w:sz w:val="24"/>
                <w:highlight w:val="none"/>
              </w:rPr>
              <w:t>②</w:t>
            </w:r>
            <w:r>
              <w:rPr>
                <w:color w:val="auto"/>
                <w:sz w:val="24"/>
                <w:highlight w:val="none"/>
              </w:rPr>
              <w:t>定期上报监测结果。</w:t>
            </w:r>
          </w:p>
          <w:p>
            <w:pPr>
              <w:adjustRightInd w:val="0"/>
              <w:snapToGrid w:val="0"/>
              <w:spacing w:line="480" w:lineRule="exact"/>
              <w:ind w:firstLine="480" w:firstLineChars="200"/>
              <w:jc w:val="left"/>
              <w:rPr>
                <w:color w:val="auto"/>
                <w:sz w:val="24"/>
                <w:highlight w:val="none"/>
              </w:rPr>
            </w:pPr>
            <w:r>
              <w:rPr>
                <w:rFonts w:hint="eastAsia"/>
                <w:color w:val="auto"/>
                <w:sz w:val="24"/>
                <w:highlight w:val="none"/>
              </w:rPr>
              <w:t>③</w:t>
            </w:r>
            <w:r>
              <w:rPr>
                <w:color w:val="auto"/>
                <w:sz w:val="24"/>
                <w:highlight w:val="none"/>
              </w:rPr>
              <w:t>监测中发现超标排放或其他异常情况，及时报告企业管理部门查找原因、解决处理，预测特殊情况应随时监测。</w:t>
            </w:r>
          </w:p>
          <w:p>
            <w:pPr>
              <w:adjustRightInd w:val="0"/>
              <w:snapToGrid w:val="0"/>
              <w:spacing w:line="480" w:lineRule="exact"/>
              <w:ind w:firstLine="480" w:firstLineChars="200"/>
              <w:jc w:val="left"/>
              <w:rPr>
                <w:color w:val="auto"/>
                <w:sz w:val="24"/>
                <w:highlight w:val="none"/>
              </w:rPr>
            </w:pPr>
            <w:r>
              <w:rPr>
                <w:color w:val="auto"/>
                <w:sz w:val="24"/>
                <w:highlight w:val="none"/>
              </w:rPr>
              <w:t>监测机构主要对项目产生噪声进行监测，可委托有相关资质的单位进行监测。监测类别、监测位置、监测污染物及监测频率详见</w:t>
            </w:r>
            <w:r>
              <w:rPr>
                <w:rFonts w:hint="eastAsia"/>
                <w:color w:val="auto"/>
                <w:sz w:val="24"/>
                <w:highlight w:val="none"/>
                <w:lang w:eastAsia="zh-CN"/>
              </w:rPr>
              <w:t>下表</w:t>
            </w:r>
            <w:r>
              <w:rPr>
                <w:color w:val="auto"/>
                <w:sz w:val="24"/>
                <w:highlight w:val="none"/>
              </w:rPr>
              <w:t>。</w:t>
            </w:r>
          </w:p>
          <w:p>
            <w:pPr>
              <w:spacing w:line="300" w:lineRule="auto"/>
              <w:jc w:val="center"/>
              <w:rPr>
                <w:b/>
                <w:bCs/>
                <w:color w:val="auto"/>
                <w:sz w:val="24"/>
                <w:highlight w:val="none"/>
              </w:rPr>
            </w:pPr>
          </w:p>
          <w:p>
            <w:pPr>
              <w:spacing w:line="300" w:lineRule="auto"/>
              <w:jc w:val="center"/>
              <w:rPr>
                <w:b/>
                <w:bCs/>
                <w:color w:val="auto"/>
                <w:sz w:val="24"/>
                <w:highlight w:val="none"/>
              </w:rPr>
            </w:pPr>
          </w:p>
          <w:p>
            <w:pPr>
              <w:pStyle w:val="2"/>
              <w:rPr>
                <w:b/>
                <w:bCs/>
                <w:color w:val="auto"/>
                <w:sz w:val="24"/>
                <w:highlight w:val="none"/>
              </w:rPr>
            </w:pPr>
          </w:p>
          <w:p>
            <w:pPr>
              <w:spacing w:line="300" w:lineRule="auto"/>
              <w:jc w:val="center"/>
              <w:rPr>
                <w:b/>
                <w:bCs/>
                <w:color w:val="auto"/>
                <w:sz w:val="24"/>
                <w:highlight w:val="none"/>
              </w:rPr>
            </w:pPr>
            <w:r>
              <w:rPr>
                <w:b/>
                <w:bCs/>
                <w:color w:val="auto"/>
                <w:sz w:val="24"/>
                <w:highlight w:val="none"/>
              </w:rPr>
              <w:t>表</w:t>
            </w:r>
            <w:r>
              <w:rPr>
                <w:rFonts w:hint="eastAsia"/>
                <w:b/>
                <w:bCs/>
                <w:color w:val="auto"/>
                <w:sz w:val="24"/>
                <w:highlight w:val="none"/>
                <w:lang w:val="en-US" w:eastAsia="zh-CN"/>
              </w:rPr>
              <w:t>46</w:t>
            </w:r>
            <w:r>
              <w:rPr>
                <w:rFonts w:hint="eastAsia"/>
                <w:b/>
                <w:bCs/>
                <w:color w:val="auto"/>
                <w:sz w:val="24"/>
                <w:highlight w:val="none"/>
              </w:rPr>
              <w:t xml:space="preserve">    </w:t>
            </w:r>
            <w:r>
              <w:rPr>
                <w:b/>
                <w:bCs/>
                <w:color w:val="auto"/>
                <w:sz w:val="24"/>
                <w:highlight w:val="none"/>
              </w:rPr>
              <w:t>本项目污染源监测工作计划</w:t>
            </w:r>
          </w:p>
          <w:tbl>
            <w:tblPr>
              <w:tblStyle w:val="31"/>
              <w:tblW w:w="91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0"/>
              <w:gridCol w:w="2665"/>
              <w:gridCol w:w="1357"/>
              <w:gridCol w:w="3395"/>
              <w:gridCol w:w="118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215" w:type="dxa"/>
                  <w:gridSpan w:val="2"/>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类别</w:t>
                  </w:r>
                </w:p>
              </w:tc>
              <w:tc>
                <w:tcPr>
                  <w:tcW w:w="1357"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监测项目</w:t>
                  </w:r>
                </w:p>
              </w:tc>
              <w:tc>
                <w:tcPr>
                  <w:tcW w:w="3395"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监测点位</w:t>
                  </w:r>
                </w:p>
              </w:tc>
              <w:tc>
                <w:tcPr>
                  <w:tcW w:w="1188"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监测频率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0" w:type="dxa"/>
                  <w:vMerge w:val="restart"/>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废气</w:t>
                  </w:r>
                </w:p>
              </w:tc>
              <w:tc>
                <w:tcPr>
                  <w:tcW w:w="2665" w:type="dxa"/>
                  <w:tcMar>
                    <w:left w:w="57" w:type="dxa"/>
                    <w:right w:w="57" w:type="dxa"/>
                  </w:tcMar>
                  <w:vAlign w:val="center"/>
                </w:tcPr>
                <w:p>
                  <w:pPr>
                    <w:tabs>
                      <w:tab w:val="left" w:pos="2604"/>
                    </w:tabs>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数控火焰切割机</w:t>
                  </w:r>
                  <w:r>
                    <w:rPr>
                      <w:rFonts w:hint="eastAsia" w:cs="Times New Roman"/>
                      <w:color w:val="auto"/>
                      <w:sz w:val="21"/>
                      <w:szCs w:val="21"/>
                      <w:highlight w:val="none"/>
                      <w:lang w:val="en-US" w:eastAsia="zh-CN"/>
                    </w:rPr>
                    <w:t>脉冲</w:t>
                  </w:r>
                  <w:r>
                    <w:rPr>
                      <w:rFonts w:hint="default" w:ascii="Times New Roman" w:hAnsi="Times New Roman" w:cs="Times New Roman"/>
                      <w:color w:val="auto"/>
                      <w:sz w:val="21"/>
                      <w:szCs w:val="21"/>
                      <w:highlight w:val="none"/>
                      <w:lang w:eastAsia="zh-CN"/>
                    </w:rPr>
                    <w:t>布袋除尘器</w:t>
                  </w:r>
                  <w:r>
                    <w:rPr>
                      <w:rFonts w:hint="eastAsia" w:ascii="Times New Roman" w:hAnsi="Times New Roman" w:cs="Times New Roman"/>
                      <w:color w:val="auto"/>
                      <w:sz w:val="21"/>
                      <w:szCs w:val="21"/>
                      <w:highlight w:val="none"/>
                      <w:lang w:eastAsia="zh-CN"/>
                    </w:rPr>
                    <w:t>排气筒</w:t>
                  </w:r>
                </w:p>
              </w:tc>
              <w:tc>
                <w:tcPr>
                  <w:tcW w:w="1357" w:type="dxa"/>
                  <w:tcMar>
                    <w:left w:w="57" w:type="dxa"/>
                    <w:right w:w="57" w:type="dxa"/>
                  </w:tcMar>
                  <w:vAlign w:val="center"/>
                </w:tcPr>
                <w:p>
                  <w:pPr>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颗粒物</w:t>
                  </w:r>
                </w:p>
              </w:tc>
              <w:tc>
                <w:tcPr>
                  <w:tcW w:w="3395" w:type="dxa"/>
                  <w:tcMar>
                    <w:left w:w="57" w:type="dxa"/>
                    <w:right w:w="57" w:type="dxa"/>
                  </w:tcMar>
                  <w:vAlign w:val="center"/>
                </w:tcPr>
                <w:p>
                  <w:pPr>
                    <w:pStyle w:val="15"/>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1#排气筒</w:t>
                  </w:r>
                </w:p>
              </w:tc>
              <w:tc>
                <w:tcPr>
                  <w:tcW w:w="1188" w:type="dxa"/>
                  <w:tcMar>
                    <w:left w:w="57" w:type="dxa"/>
                    <w:right w:w="57" w:type="dxa"/>
                  </w:tcMar>
                  <w:vAlign w:val="center"/>
                </w:tcPr>
                <w:p>
                  <w:pPr>
                    <w:spacing w:line="320" w:lineRule="exact"/>
                    <w:jc w:val="center"/>
                    <w:rPr>
                      <w:color w:val="auto"/>
                      <w:szCs w:val="21"/>
                      <w:highlight w:val="none"/>
                    </w:rPr>
                  </w:pPr>
                  <w:r>
                    <w:rPr>
                      <w:color w:val="auto"/>
                      <w:szCs w:val="21"/>
                      <w:highlight w:val="none"/>
                    </w:rPr>
                    <w:t>每年1次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0" w:type="dxa"/>
                  <w:vMerge w:val="continue"/>
                  <w:tcMar>
                    <w:left w:w="57" w:type="dxa"/>
                    <w:right w:w="57" w:type="dxa"/>
                  </w:tcMar>
                  <w:vAlign w:val="center"/>
                </w:tcPr>
                <w:p>
                  <w:pPr>
                    <w:pStyle w:val="15"/>
                    <w:spacing w:line="320" w:lineRule="exact"/>
                    <w:jc w:val="center"/>
                    <w:rPr>
                      <w:rFonts w:hint="eastAsia" w:ascii="Times New Roman" w:hAnsi="Times New Roman" w:cs="Times New Roman"/>
                      <w:color w:val="auto"/>
                      <w:highlight w:val="none"/>
                    </w:rPr>
                  </w:pPr>
                </w:p>
              </w:tc>
              <w:tc>
                <w:tcPr>
                  <w:tcW w:w="2665" w:type="dxa"/>
                  <w:tcMar>
                    <w:left w:w="57" w:type="dxa"/>
                    <w:right w:w="57" w:type="dxa"/>
                  </w:tcMar>
                  <w:vAlign w:val="center"/>
                </w:tcPr>
                <w:p>
                  <w:pPr>
                    <w:tabs>
                      <w:tab w:val="left" w:pos="2604"/>
                    </w:tabs>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自制抛光机</w:t>
                  </w:r>
                  <w:r>
                    <w:rPr>
                      <w:rFonts w:hint="eastAsia" w:cs="Times New Roman"/>
                      <w:color w:val="auto"/>
                      <w:sz w:val="21"/>
                      <w:szCs w:val="21"/>
                      <w:highlight w:val="none"/>
                      <w:lang w:val="en-US" w:eastAsia="zh-CN"/>
                    </w:rPr>
                    <w:t>脉冲</w:t>
                  </w:r>
                  <w:r>
                    <w:rPr>
                      <w:rFonts w:hint="default" w:ascii="Times New Roman" w:hAnsi="Times New Roman" w:cs="Times New Roman"/>
                      <w:color w:val="auto"/>
                      <w:sz w:val="21"/>
                      <w:szCs w:val="21"/>
                      <w:highlight w:val="none"/>
                      <w:lang w:eastAsia="zh-CN"/>
                    </w:rPr>
                    <w:t>布袋除尘器</w:t>
                  </w:r>
                  <w:r>
                    <w:rPr>
                      <w:rFonts w:hint="eastAsia" w:ascii="Times New Roman" w:hAnsi="Times New Roman" w:cs="Times New Roman"/>
                      <w:color w:val="auto"/>
                      <w:sz w:val="21"/>
                      <w:szCs w:val="21"/>
                      <w:highlight w:val="none"/>
                      <w:lang w:eastAsia="zh-CN"/>
                    </w:rPr>
                    <w:t>排气筒</w:t>
                  </w:r>
                </w:p>
              </w:tc>
              <w:tc>
                <w:tcPr>
                  <w:tcW w:w="1357" w:type="dxa"/>
                  <w:tcMar>
                    <w:left w:w="57" w:type="dxa"/>
                    <w:right w:w="57" w:type="dxa"/>
                  </w:tcMar>
                  <w:vAlign w:val="center"/>
                </w:tcPr>
                <w:p>
                  <w:pPr>
                    <w:spacing w:line="320" w:lineRule="exact"/>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cs="Times New Roman"/>
                      <w:color w:val="auto"/>
                      <w:highlight w:val="none"/>
                    </w:rPr>
                    <w:t>颗粒物</w:t>
                  </w:r>
                </w:p>
              </w:tc>
              <w:tc>
                <w:tcPr>
                  <w:tcW w:w="3395" w:type="dxa"/>
                  <w:tcMar>
                    <w:left w:w="57" w:type="dxa"/>
                    <w:right w:w="57" w:type="dxa"/>
                  </w:tcMar>
                  <w:vAlign w:val="center"/>
                </w:tcPr>
                <w:p>
                  <w:pPr>
                    <w:pStyle w:val="15"/>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2#排气筒</w:t>
                  </w:r>
                </w:p>
              </w:tc>
              <w:tc>
                <w:tcPr>
                  <w:tcW w:w="1188" w:type="dxa"/>
                  <w:tcMar>
                    <w:left w:w="57" w:type="dxa"/>
                    <w:right w:w="57" w:type="dxa"/>
                  </w:tcMar>
                  <w:vAlign w:val="center"/>
                </w:tcPr>
                <w:p>
                  <w:pPr>
                    <w:spacing w:line="320" w:lineRule="exact"/>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每年1次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0" w:type="dxa"/>
                  <w:vMerge w:val="continue"/>
                  <w:tcMar>
                    <w:left w:w="57" w:type="dxa"/>
                    <w:right w:w="57" w:type="dxa"/>
                  </w:tcMar>
                  <w:vAlign w:val="center"/>
                </w:tcPr>
                <w:p>
                  <w:pPr>
                    <w:pStyle w:val="15"/>
                    <w:spacing w:line="320" w:lineRule="exact"/>
                    <w:jc w:val="center"/>
                    <w:rPr>
                      <w:rFonts w:ascii="Times New Roman" w:hAnsi="Times New Roman" w:cs="Times New Roman"/>
                      <w:color w:val="auto"/>
                      <w:highlight w:val="none"/>
                    </w:rPr>
                  </w:pPr>
                </w:p>
              </w:tc>
              <w:tc>
                <w:tcPr>
                  <w:tcW w:w="2665"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厂界</w:t>
                  </w:r>
                </w:p>
              </w:tc>
              <w:tc>
                <w:tcPr>
                  <w:tcW w:w="1357" w:type="dxa"/>
                  <w:tcMar>
                    <w:left w:w="57" w:type="dxa"/>
                    <w:right w:w="57" w:type="dxa"/>
                  </w:tcMar>
                  <w:vAlign w:val="center"/>
                </w:tcPr>
                <w:p>
                  <w:pPr>
                    <w:pStyle w:val="15"/>
                    <w:spacing w:line="320" w:lineRule="exact"/>
                    <w:jc w:val="center"/>
                    <w:rPr>
                      <w:rFonts w:hint="default" w:ascii="Times New Roman" w:hAnsi="Times New Roman" w:eastAsia="宋体" w:cs="Times New Roman"/>
                      <w:color w:val="auto"/>
                      <w:highlight w:val="none"/>
                      <w:lang w:val="en-US" w:eastAsia="zh-CN"/>
                    </w:rPr>
                  </w:pPr>
                  <w:r>
                    <w:rPr>
                      <w:rFonts w:ascii="Times New Roman" w:hAnsi="Times New Roman" w:cs="Times New Roman"/>
                      <w:color w:val="auto"/>
                      <w:highlight w:val="none"/>
                    </w:rPr>
                    <w:t>颗粒物</w:t>
                  </w:r>
                </w:p>
              </w:tc>
              <w:tc>
                <w:tcPr>
                  <w:tcW w:w="3395"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厂界</w:t>
                  </w:r>
                  <w:r>
                    <w:rPr>
                      <w:rFonts w:ascii="Times New Roman" w:hAnsi="Times New Roman" w:cs="Times New Roman"/>
                      <w:color w:val="auto"/>
                      <w:highlight w:val="none"/>
                    </w:rPr>
                    <w:t>上风向1个点，下风向3个点</w:t>
                  </w:r>
                </w:p>
              </w:tc>
              <w:tc>
                <w:tcPr>
                  <w:tcW w:w="1188" w:type="dxa"/>
                  <w:tcMar>
                    <w:left w:w="57" w:type="dxa"/>
                    <w:right w:w="57" w:type="dxa"/>
                  </w:tcMar>
                  <w:vAlign w:val="center"/>
                </w:tcPr>
                <w:p>
                  <w:pPr>
                    <w:spacing w:line="320" w:lineRule="exact"/>
                    <w:jc w:val="center"/>
                    <w:rPr>
                      <w:color w:val="auto"/>
                      <w:szCs w:val="21"/>
                      <w:highlight w:val="none"/>
                    </w:rPr>
                  </w:pPr>
                  <w:r>
                    <w:rPr>
                      <w:color w:val="auto"/>
                      <w:szCs w:val="21"/>
                      <w:highlight w:val="none"/>
                    </w:rPr>
                    <w:t>每年1次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0"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噪声</w:t>
                  </w:r>
                </w:p>
              </w:tc>
              <w:tc>
                <w:tcPr>
                  <w:tcW w:w="2665"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厂界噪声</w:t>
                  </w:r>
                </w:p>
              </w:tc>
              <w:tc>
                <w:tcPr>
                  <w:tcW w:w="1357"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昼间等效连续A声级</w:t>
                  </w:r>
                </w:p>
              </w:tc>
              <w:tc>
                <w:tcPr>
                  <w:tcW w:w="3395"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各厂界外1m处</w:t>
                  </w:r>
                </w:p>
              </w:tc>
              <w:tc>
                <w:tcPr>
                  <w:tcW w:w="1188" w:type="dxa"/>
                  <w:tcMar>
                    <w:left w:w="57" w:type="dxa"/>
                    <w:right w:w="57" w:type="dxa"/>
                  </w:tcMar>
                  <w:vAlign w:val="center"/>
                </w:tcPr>
                <w:p>
                  <w:pPr>
                    <w:pStyle w:val="15"/>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每季1次</w:t>
                  </w:r>
                </w:p>
              </w:tc>
            </w:tr>
          </w:tbl>
          <w:p>
            <w:pPr>
              <w:pStyle w:val="22"/>
              <w:snapToGrid w:val="0"/>
              <w:spacing w:line="480" w:lineRule="exact"/>
              <w:ind w:left="0" w:right="147" w:firstLine="480" w:firstLineChars="200"/>
              <w:rPr>
                <w:color w:val="auto"/>
                <w:sz w:val="24"/>
                <w:highlight w:val="none"/>
                <w:lang w:val="nl-BE"/>
              </w:rPr>
            </w:pPr>
            <w:r>
              <w:rPr>
                <w:color w:val="auto"/>
                <w:sz w:val="24"/>
                <w:highlight w:val="none"/>
                <w:lang w:val="nl-BE"/>
              </w:rPr>
              <w:t>另外，还应根据管理要求进行不定期监测</w:t>
            </w:r>
            <w:r>
              <w:rPr>
                <w:rFonts w:hint="eastAsia"/>
                <w:color w:val="auto"/>
                <w:sz w:val="24"/>
                <w:highlight w:val="none"/>
                <w:lang w:val="nl-BE"/>
              </w:rPr>
              <w:t>。</w:t>
            </w:r>
          </w:p>
          <w:p>
            <w:pPr>
              <w:spacing w:line="480" w:lineRule="exact"/>
              <w:ind w:firstLine="482" w:firstLineChars="200"/>
              <w:rPr>
                <w:rFonts w:hint="eastAsia" w:ascii="Times New Roman" w:hAnsi="Times New Roman" w:cs="Times New Roman"/>
                <w:b/>
                <w:bCs/>
                <w:color w:val="auto"/>
                <w:sz w:val="24"/>
                <w:szCs w:val="22"/>
                <w:lang w:val="en-US" w:eastAsia="zh-CN"/>
              </w:rPr>
            </w:pPr>
            <w:r>
              <w:rPr>
                <w:rFonts w:hint="eastAsia" w:cs="Times New Roman"/>
                <w:b/>
                <w:bCs/>
                <w:color w:val="auto"/>
                <w:sz w:val="24"/>
                <w:szCs w:val="22"/>
                <w:lang w:val="en-US" w:eastAsia="zh-CN"/>
              </w:rPr>
              <w:t>（13）</w:t>
            </w:r>
            <w:r>
              <w:rPr>
                <w:rFonts w:hint="eastAsia" w:ascii="Times New Roman" w:hAnsi="Times New Roman" w:cs="Times New Roman"/>
                <w:b/>
                <w:bCs/>
                <w:color w:val="auto"/>
                <w:sz w:val="24"/>
                <w:szCs w:val="22"/>
                <w:lang w:val="en-US" w:eastAsia="zh-CN"/>
              </w:rPr>
              <w:t>与排污许可证的衔接要求</w:t>
            </w:r>
          </w:p>
          <w:p>
            <w:pPr>
              <w:spacing w:line="480" w:lineRule="exact"/>
              <w:ind w:firstLine="480" w:firstLineChars="200"/>
              <w:rPr>
                <w:rFonts w:hint="eastAsia" w:ascii="Times New Roman" w:hAnsi="Times New Roman" w:cs="Times New Roman"/>
                <w:b w:val="0"/>
                <w:bCs w:val="0"/>
                <w:color w:val="auto"/>
                <w:sz w:val="24"/>
                <w:szCs w:val="22"/>
                <w:lang w:val="en-US" w:eastAsia="zh-CN"/>
              </w:rPr>
            </w:pPr>
            <w:r>
              <w:rPr>
                <w:rFonts w:hint="eastAsia" w:ascii="Times New Roman" w:hAnsi="Times New Roman" w:cs="Times New Roman"/>
                <w:b w:val="0"/>
                <w:bCs w:val="0"/>
                <w:color w:val="auto"/>
                <w:sz w:val="24"/>
                <w:szCs w:val="22"/>
                <w:lang w:val="en-US" w:eastAsia="zh-CN"/>
              </w:rPr>
              <w:t>根据《固定污染源排污许</w:t>
            </w:r>
            <w:r>
              <w:rPr>
                <w:rFonts w:hint="eastAsia" w:ascii="Times New Roman" w:hAnsi="Times New Roman" w:cs="Times New Roman"/>
                <w:color w:val="auto"/>
                <w:sz w:val="24"/>
                <w:szCs w:val="22"/>
                <w:lang w:val="en-US" w:eastAsia="zh-CN"/>
              </w:rPr>
              <w:t>可分类管理名录(2019年版)》，本项目属于名录规定的“</w:t>
            </w:r>
            <w:r>
              <w:rPr>
                <w:rFonts w:hint="eastAsia" w:cs="Times New Roman"/>
                <w:color w:val="auto"/>
                <w:sz w:val="24"/>
                <w:szCs w:val="22"/>
                <w:lang w:val="en-US" w:eastAsia="zh-CN"/>
              </w:rPr>
              <w:t>二十八</w:t>
            </w:r>
            <w:r>
              <w:rPr>
                <w:rFonts w:hint="eastAsia" w:ascii="Times New Roman" w:hAnsi="Times New Roman" w:cs="Times New Roman"/>
                <w:color w:val="auto"/>
                <w:sz w:val="24"/>
                <w:szCs w:val="22"/>
                <w:lang w:val="en-US" w:eastAsia="zh-CN"/>
              </w:rPr>
              <w:t>、金属制品业</w:t>
            </w:r>
            <w:r>
              <w:rPr>
                <w:rFonts w:hint="eastAsia" w:cs="Times New Roman"/>
                <w:color w:val="auto"/>
                <w:sz w:val="24"/>
                <w:szCs w:val="22"/>
                <w:lang w:val="en-US" w:eastAsia="zh-CN"/>
              </w:rPr>
              <w:t>33</w:t>
            </w:r>
            <w:r>
              <w:rPr>
                <w:rFonts w:hint="eastAsia" w:ascii="Times New Roman" w:hAnsi="Times New Roman" w:cs="Times New Roman"/>
                <w:color w:val="auto"/>
                <w:sz w:val="24"/>
                <w:szCs w:val="22"/>
                <w:lang w:val="en-US" w:eastAsia="zh-CN"/>
              </w:rPr>
              <w:t>，属于简化管理，故企业应在2021年前申请排污许可证。本项目与排污许可制度衔接工作如下</w:t>
            </w:r>
            <w:r>
              <w:rPr>
                <w:rFonts w:hint="eastAsia" w:ascii="Times New Roman" w:hAnsi="Times New Roman" w:cs="Times New Roman"/>
                <w:b w:val="0"/>
                <w:bCs w:val="0"/>
                <w:color w:val="auto"/>
                <w:sz w:val="24"/>
                <w:szCs w:val="22"/>
                <w:lang w:val="en-US" w:eastAsia="zh-CN"/>
              </w:rPr>
              <w:t>：</w:t>
            </w:r>
          </w:p>
          <w:p>
            <w:pPr>
              <w:spacing w:line="480" w:lineRule="exact"/>
              <w:ind w:firstLine="480" w:firstLineChars="200"/>
              <w:rPr>
                <w:rFonts w:hint="default"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（1）在排污许可管理中，应严格按照相关要求核发排污许可证；</w:t>
            </w:r>
          </w:p>
          <w:p>
            <w:pPr>
              <w:spacing w:line="480" w:lineRule="exact"/>
              <w:ind w:firstLine="480" w:firstLineChars="20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（2）在核发排污许可证时应严格核定排放口数量、位置以及每个排放口的污染物种类、允许排放浓度和允许排放量、排放方式、排放去向、自行监测计划等与污染物排放相关的主要内容；</w:t>
            </w:r>
            <w:bookmarkStart w:id="4" w:name="_GoBack"/>
            <w:bookmarkEnd w:id="4"/>
          </w:p>
          <w:p>
            <w:pPr>
              <w:spacing w:line="480" w:lineRule="exact"/>
              <w:ind w:firstLine="480" w:firstLineChars="20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（3）项目在发生实际排污行为之前，建设单位应当按照国家环境保护相关法律法规以及排污许可申请与核发技术规范要求申请排污许可证，不得无证排污或不按证排污；</w:t>
            </w:r>
          </w:p>
          <w:p>
            <w:pPr>
              <w:spacing w:line="480" w:lineRule="exact"/>
              <w:ind w:firstLine="480" w:firstLineChars="20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（4）建设项目无证排污或不按证排污的，不得出具该项目验收合格的意见，验收报告中与污染物排放相关的主要内容应当纳入该项目验收完成当年排污许可执行年报。</w:t>
            </w:r>
          </w:p>
          <w:p>
            <w:pPr>
              <w:spacing w:line="480" w:lineRule="exact"/>
              <w:ind w:firstLine="480" w:firstLineChars="20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（5）排污许可执行报告、台账记录以及自行监测执行情况等应作为开展建设项目环境影响后评价的重要依据。</w:t>
            </w:r>
          </w:p>
          <w:p>
            <w:pPr>
              <w:spacing w:line="480" w:lineRule="exact"/>
              <w:ind w:firstLine="480" w:firstLineChars="200"/>
              <w:rPr>
                <w:rFonts w:hint="default"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6）排污许可证的补办：排污许可证发生遗失、损毁的，建设单位应当在三十日内向原核发机关申请补领排污许可证，遗失排污许可证的还应同事提交遗失声明，损毁排污许可证的还应同时交回被损毁的许可证。核发机关应当在收到补领申请后十日内补发排污许可证，并及时在国家排污许可证管理信息平台上进行公告。</w:t>
            </w:r>
          </w:p>
          <w:p>
            <w:pPr>
              <w:tabs>
                <w:tab w:val="left" w:pos="2729"/>
              </w:tabs>
              <w:spacing w:line="460" w:lineRule="exact"/>
              <w:ind w:firstLine="200" w:firstLineChars="200"/>
              <w:jc w:val="left"/>
              <w:rPr>
                <w:rFonts w:hint="eastAsia" w:eastAsia="宋体"/>
                <w:color w:val="auto"/>
                <w:kern w:val="0"/>
                <w:sz w:val="10"/>
                <w:szCs w:val="10"/>
                <w:highlight w:val="none"/>
                <w:lang w:eastAsia="zh-CN"/>
              </w:rPr>
            </w:pPr>
          </w:p>
        </w:tc>
      </w:tr>
    </w:tbl>
    <w:p>
      <w:pPr>
        <w:outlineLvl w:val="0"/>
        <w:rPr>
          <w:b/>
          <w:color w:val="auto"/>
          <w:kern w:val="24"/>
          <w:sz w:val="30"/>
          <w:szCs w:val="30"/>
          <w:highlight w:val="none"/>
        </w:rPr>
      </w:pPr>
      <w:r>
        <w:rPr>
          <w:b/>
          <w:color w:val="auto"/>
          <w:kern w:val="24"/>
          <w:sz w:val="30"/>
          <w:szCs w:val="30"/>
          <w:highlight w:val="none"/>
        </w:rPr>
        <w:br w:type="page"/>
      </w:r>
      <w:r>
        <w:rPr>
          <w:b/>
          <w:bCs/>
          <w:color w:val="auto"/>
          <w:sz w:val="32"/>
          <w:highlight w:val="none"/>
        </w:rPr>
        <w:t>建设项目拟采取的防治措施及预期治理效果</w:t>
      </w:r>
    </w:p>
    <w:tbl>
      <w:tblPr>
        <w:tblStyle w:val="31"/>
        <w:tblW w:w="935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85" w:type="dxa"/>
          <w:bottom w:w="0" w:type="dxa"/>
          <w:right w:w="85" w:type="dxa"/>
        </w:tblCellMar>
      </w:tblPr>
      <w:tblGrid>
        <w:gridCol w:w="1078"/>
        <w:gridCol w:w="1150"/>
        <w:gridCol w:w="1012"/>
        <w:gridCol w:w="3365"/>
        <w:gridCol w:w="275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078" w:type="dxa"/>
            <w:tcBorders>
              <w:tl2br w:val="single" w:color="auto" w:sz="4" w:space="0"/>
            </w:tcBorders>
            <w:vAlign w:val="center"/>
          </w:tcPr>
          <w:p>
            <w:pPr>
              <w:spacing w:line="400" w:lineRule="exact"/>
              <w:jc w:val="center"/>
              <w:rPr>
                <w:color w:val="auto"/>
                <w:kern w:val="24"/>
                <w:sz w:val="24"/>
                <w:highlight w:val="none"/>
              </w:rPr>
            </w:pPr>
            <w:r>
              <w:rPr>
                <w:color w:val="auto"/>
                <w:kern w:val="24"/>
                <w:sz w:val="24"/>
                <w:highlight w:val="none"/>
              </w:rPr>
              <w:t xml:space="preserve">   内容</w:t>
            </w:r>
          </w:p>
          <w:p>
            <w:pPr>
              <w:spacing w:line="400" w:lineRule="exact"/>
              <w:rPr>
                <w:color w:val="auto"/>
                <w:kern w:val="24"/>
                <w:sz w:val="24"/>
                <w:highlight w:val="none"/>
              </w:rPr>
            </w:pPr>
            <w:r>
              <w:rPr>
                <w:color w:val="auto"/>
                <w:kern w:val="24"/>
                <w:sz w:val="24"/>
                <w:highlight w:val="none"/>
              </w:rPr>
              <w:t>类型</w:t>
            </w:r>
          </w:p>
        </w:tc>
        <w:tc>
          <w:tcPr>
            <w:tcW w:w="1150" w:type="dxa"/>
            <w:vAlign w:val="center"/>
          </w:tcPr>
          <w:p>
            <w:pPr>
              <w:spacing w:line="400" w:lineRule="exact"/>
              <w:jc w:val="center"/>
              <w:rPr>
                <w:color w:val="auto"/>
                <w:kern w:val="24"/>
                <w:sz w:val="24"/>
                <w:highlight w:val="none"/>
              </w:rPr>
            </w:pPr>
            <w:r>
              <w:rPr>
                <w:color w:val="auto"/>
                <w:kern w:val="24"/>
                <w:sz w:val="24"/>
                <w:highlight w:val="none"/>
              </w:rPr>
              <w:t>排放源</w:t>
            </w:r>
          </w:p>
          <w:p>
            <w:pPr>
              <w:spacing w:line="400" w:lineRule="exact"/>
              <w:jc w:val="center"/>
              <w:rPr>
                <w:color w:val="auto"/>
                <w:kern w:val="24"/>
                <w:sz w:val="24"/>
                <w:highlight w:val="none"/>
              </w:rPr>
            </w:pPr>
            <w:r>
              <w:rPr>
                <w:color w:val="auto"/>
                <w:kern w:val="24"/>
                <w:sz w:val="24"/>
                <w:highlight w:val="none"/>
              </w:rPr>
              <w:t>（编号）</w:t>
            </w:r>
          </w:p>
        </w:tc>
        <w:tc>
          <w:tcPr>
            <w:tcW w:w="1012" w:type="dxa"/>
            <w:vAlign w:val="center"/>
          </w:tcPr>
          <w:p>
            <w:pPr>
              <w:spacing w:line="400" w:lineRule="exact"/>
              <w:jc w:val="center"/>
              <w:rPr>
                <w:color w:val="auto"/>
                <w:kern w:val="24"/>
                <w:sz w:val="24"/>
                <w:highlight w:val="none"/>
              </w:rPr>
            </w:pPr>
            <w:r>
              <w:rPr>
                <w:color w:val="auto"/>
                <w:kern w:val="24"/>
                <w:sz w:val="24"/>
                <w:highlight w:val="none"/>
              </w:rPr>
              <w:t>污染物名称</w:t>
            </w:r>
          </w:p>
        </w:tc>
        <w:tc>
          <w:tcPr>
            <w:tcW w:w="3365" w:type="dxa"/>
            <w:vAlign w:val="center"/>
          </w:tcPr>
          <w:p>
            <w:pPr>
              <w:spacing w:line="400" w:lineRule="exact"/>
              <w:jc w:val="center"/>
              <w:rPr>
                <w:color w:val="auto"/>
                <w:kern w:val="24"/>
                <w:sz w:val="24"/>
                <w:highlight w:val="none"/>
              </w:rPr>
            </w:pPr>
            <w:r>
              <w:rPr>
                <w:color w:val="auto"/>
                <w:kern w:val="24"/>
                <w:sz w:val="24"/>
                <w:highlight w:val="none"/>
              </w:rPr>
              <w:t>防治措施</w:t>
            </w:r>
          </w:p>
        </w:tc>
        <w:tc>
          <w:tcPr>
            <w:tcW w:w="2750" w:type="dxa"/>
            <w:vAlign w:val="center"/>
          </w:tcPr>
          <w:p>
            <w:pPr>
              <w:spacing w:line="400" w:lineRule="exact"/>
              <w:jc w:val="center"/>
              <w:rPr>
                <w:color w:val="auto"/>
                <w:kern w:val="24"/>
                <w:sz w:val="24"/>
                <w:highlight w:val="none"/>
              </w:rPr>
            </w:pPr>
            <w:r>
              <w:rPr>
                <w:color w:val="auto"/>
                <w:kern w:val="24"/>
                <w:sz w:val="24"/>
                <w:highlight w:val="none"/>
              </w:rPr>
              <w:t>预期治理效果</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720" w:hRule="atLeast"/>
          <w:jc w:val="center"/>
        </w:trPr>
        <w:tc>
          <w:tcPr>
            <w:tcW w:w="1078" w:type="dxa"/>
            <w:vMerge w:val="restart"/>
            <w:vAlign w:val="center"/>
          </w:tcPr>
          <w:p>
            <w:pPr>
              <w:spacing w:line="400" w:lineRule="exact"/>
              <w:jc w:val="center"/>
              <w:rPr>
                <w:color w:val="auto"/>
                <w:kern w:val="24"/>
                <w:sz w:val="24"/>
                <w:highlight w:val="none"/>
              </w:rPr>
            </w:pPr>
            <w:r>
              <w:rPr>
                <w:color w:val="auto"/>
                <w:kern w:val="24"/>
                <w:sz w:val="24"/>
                <w:highlight w:val="none"/>
              </w:rPr>
              <w:t>大气</w:t>
            </w:r>
          </w:p>
          <w:p>
            <w:pPr>
              <w:spacing w:line="400" w:lineRule="exact"/>
              <w:jc w:val="center"/>
              <w:rPr>
                <w:color w:val="auto"/>
                <w:kern w:val="24"/>
                <w:sz w:val="24"/>
                <w:highlight w:val="none"/>
              </w:rPr>
            </w:pPr>
            <w:r>
              <w:rPr>
                <w:color w:val="auto"/>
                <w:kern w:val="24"/>
                <w:sz w:val="24"/>
                <w:highlight w:val="none"/>
              </w:rPr>
              <w:t>污染</w:t>
            </w:r>
          </w:p>
          <w:p>
            <w:pPr>
              <w:spacing w:line="400" w:lineRule="exact"/>
              <w:jc w:val="center"/>
              <w:rPr>
                <w:color w:val="auto"/>
                <w:kern w:val="24"/>
                <w:sz w:val="24"/>
                <w:highlight w:val="none"/>
              </w:rPr>
            </w:pPr>
            <w:r>
              <w:rPr>
                <w:color w:val="auto"/>
                <w:kern w:val="24"/>
                <w:sz w:val="24"/>
                <w:highlight w:val="none"/>
              </w:rPr>
              <w:t>物</w:t>
            </w:r>
          </w:p>
        </w:tc>
        <w:tc>
          <w:tcPr>
            <w:tcW w:w="1150"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数控火焰切割机</w:t>
            </w:r>
          </w:p>
        </w:tc>
        <w:tc>
          <w:tcPr>
            <w:tcW w:w="1012" w:type="dxa"/>
            <w:vAlign w:val="center"/>
          </w:tcPr>
          <w:p>
            <w:pPr>
              <w:tabs>
                <w:tab w:val="left" w:pos="2604"/>
              </w:tabs>
              <w:jc w:val="center"/>
              <w:rPr>
                <w:color w:val="auto"/>
                <w:sz w:val="21"/>
                <w:szCs w:val="21"/>
                <w:highlight w:val="none"/>
              </w:rPr>
            </w:pPr>
            <w:r>
              <w:rPr>
                <w:color w:val="auto"/>
                <w:szCs w:val="21"/>
                <w:highlight w:val="none"/>
              </w:rPr>
              <w:t>颗粒物</w:t>
            </w:r>
          </w:p>
        </w:tc>
        <w:tc>
          <w:tcPr>
            <w:tcW w:w="3365" w:type="dxa"/>
            <w:vAlign w:val="center"/>
          </w:tcPr>
          <w:p>
            <w:pPr>
              <w:widowControl/>
              <w:tabs>
                <w:tab w:val="left" w:pos="2951"/>
              </w:tabs>
              <w:jc w:val="center"/>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脉冲</w:t>
            </w:r>
            <w:r>
              <w:rPr>
                <w:rFonts w:hint="default" w:ascii="Times New Roman" w:hAnsi="Times New Roman" w:cs="Times New Roman"/>
                <w:color w:val="auto"/>
                <w:sz w:val="21"/>
                <w:szCs w:val="21"/>
                <w:highlight w:val="none"/>
                <w:lang w:eastAsia="zh-CN"/>
              </w:rPr>
              <w:t>布袋除尘器</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1根15m高</w:t>
            </w:r>
            <w:r>
              <w:rPr>
                <w:rFonts w:hint="default" w:ascii="Times New Roman" w:hAnsi="Times New Roman" w:cs="Times New Roman"/>
                <w:color w:val="auto"/>
                <w:sz w:val="21"/>
                <w:szCs w:val="21"/>
                <w:highlight w:val="none"/>
                <w:lang w:val="en-US" w:eastAsia="zh-CN"/>
              </w:rPr>
              <w:t>排气筒</w:t>
            </w:r>
          </w:p>
        </w:tc>
        <w:tc>
          <w:tcPr>
            <w:tcW w:w="2750" w:type="dxa"/>
            <w:vMerge w:val="restart"/>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color w:val="auto"/>
                <w:sz w:val="21"/>
                <w:szCs w:val="21"/>
                <w:highlight w:val="none"/>
              </w:rPr>
            </w:pPr>
            <w:r>
              <w:rPr>
                <w:rFonts w:hint="eastAsia" w:ascii="Times New Roman" w:hAnsi="Times New Roman" w:cs="Times New Roman"/>
                <w:color w:val="auto"/>
                <w:sz w:val="21"/>
                <w:szCs w:val="21"/>
                <w:highlight w:val="none"/>
                <w:lang w:eastAsia="zh-CN"/>
              </w:rPr>
              <w:t>参照</w:t>
            </w:r>
            <w:r>
              <w:rPr>
                <w:rFonts w:hint="default" w:ascii="Times New Roman" w:hAnsi="Times New Roman" w:cs="Times New Roman"/>
                <w:color w:val="auto"/>
                <w:sz w:val="21"/>
                <w:szCs w:val="21"/>
                <w:highlight w:val="none"/>
              </w:rPr>
              <w:t>执行《钢铁工业大气污染物超低排放标准》(DB13/2169-2018)中表1轧钢工序（热处理炉、拉矫、精整、抛丸、修磨、焊接机及其他生产设施）颗粒物排放限值要求</w:t>
            </w:r>
            <w:r>
              <w:rPr>
                <w:rFonts w:hint="eastAsia" w:cs="Times New Roman"/>
                <w:color w:val="auto"/>
                <w:sz w:val="21"/>
                <w:szCs w:val="21"/>
                <w:highlight w:val="none"/>
                <w:lang w:eastAsia="zh-CN"/>
              </w:rPr>
              <w:t>，</w:t>
            </w:r>
            <w:r>
              <w:rPr>
                <w:rFonts w:hint="eastAsia"/>
                <w:color w:val="auto"/>
                <w:sz w:val="21"/>
                <w:szCs w:val="21"/>
                <w:highlight w:val="none"/>
                <w:lang w:eastAsia="zh-CN"/>
              </w:rPr>
              <w:t>≤</w:t>
            </w:r>
            <w:r>
              <w:rPr>
                <w:rFonts w:hint="default" w:ascii="Times New Roman" w:hAnsi="Times New Roman" w:cs="Times New Roman"/>
                <w:color w:val="auto"/>
                <w:sz w:val="21"/>
                <w:szCs w:val="21"/>
                <w:highlight w:val="none"/>
              </w:rPr>
              <w:t>10mg/m</w:t>
            </w:r>
            <w:r>
              <w:rPr>
                <w:rFonts w:hint="default" w:ascii="Times New Roman" w:hAnsi="Times New Roman" w:cs="Times New Roman"/>
                <w:color w:val="auto"/>
                <w:sz w:val="21"/>
                <w:szCs w:val="21"/>
                <w:highlight w:val="none"/>
                <w:vertAlign w:val="superscript"/>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720" w:hRule="atLeast"/>
          <w:jc w:val="center"/>
        </w:trPr>
        <w:tc>
          <w:tcPr>
            <w:tcW w:w="1078" w:type="dxa"/>
            <w:vMerge w:val="continue"/>
            <w:vAlign w:val="center"/>
          </w:tcPr>
          <w:p>
            <w:pPr>
              <w:spacing w:line="400" w:lineRule="exact"/>
              <w:jc w:val="center"/>
              <w:rPr>
                <w:color w:val="auto"/>
                <w:kern w:val="24"/>
                <w:sz w:val="24"/>
                <w:highlight w:val="none"/>
              </w:rPr>
            </w:pPr>
          </w:p>
        </w:tc>
        <w:tc>
          <w:tcPr>
            <w:tcW w:w="1150"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自制抛光机机</w:t>
            </w:r>
          </w:p>
        </w:tc>
        <w:tc>
          <w:tcPr>
            <w:tcW w:w="1012" w:type="dxa"/>
            <w:vAlign w:val="center"/>
          </w:tcPr>
          <w:p>
            <w:pPr>
              <w:tabs>
                <w:tab w:val="left" w:pos="2604"/>
              </w:tabs>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颗粒物</w:t>
            </w:r>
          </w:p>
        </w:tc>
        <w:tc>
          <w:tcPr>
            <w:tcW w:w="3365" w:type="dxa"/>
            <w:vAlign w:val="center"/>
          </w:tcPr>
          <w:p>
            <w:pPr>
              <w:widowControl/>
              <w:tabs>
                <w:tab w:val="left" w:pos="2951"/>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脉冲</w:t>
            </w:r>
            <w:r>
              <w:rPr>
                <w:rFonts w:hint="default" w:ascii="Times New Roman" w:hAnsi="Times New Roman" w:cs="Times New Roman"/>
                <w:color w:val="auto"/>
                <w:sz w:val="21"/>
                <w:szCs w:val="21"/>
                <w:highlight w:val="none"/>
                <w:lang w:eastAsia="zh-CN"/>
              </w:rPr>
              <w:t>布袋除尘器</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1根15m高</w:t>
            </w:r>
            <w:r>
              <w:rPr>
                <w:rFonts w:hint="default" w:ascii="Times New Roman" w:hAnsi="Times New Roman" w:cs="Times New Roman"/>
                <w:color w:val="auto"/>
                <w:sz w:val="21"/>
                <w:szCs w:val="21"/>
                <w:highlight w:val="none"/>
                <w:lang w:val="en-US" w:eastAsia="zh-CN"/>
              </w:rPr>
              <w:t>排气筒</w:t>
            </w:r>
          </w:p>
        </w:tc>
        <w:tc>
          <w:tcPr>
            <w:tcW w:w="2750" w:type="dxa"/>
            <w:vMerge w:val="continue"/>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eastAsia" w:ascii="Times New Roman" w:hAnsi="Times New Roman" w:cs="Times New Roman"/>
                <w:color w:val="auto"/>
                <w:sz w:val="21"/>
                <w:szCs w:val="21"/>
                <w:highlight w:val="none"/>
                <w:lang w:eastAsia="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720" w:hRule="atLeast"/>
          <w:jc w:val="center"/>
        </w:trPr>
        <w:tc>
          <w:tcPr>
            <w:tcW w:w="1078" w:type="dxa"/>
            <w:vMerge w:val="continue"/>
            <w:vAlign w:val="center"/>
          </w:tcPr>
          <w:p>
            <w:pPr>
              <w:spacing w:line="400" w:lineRule="exact"/>
              <w:jc w:val="center"/>
              <w:rPr>
                <w:color w:val="auto"/>
                <w:kern w:val="24"/>
                <w:sz w:val="24"/>
                <w:highlight w:val="none"/>
              </w:rPr>
            </w:pPr>
          </w:p>
        </w:tc>
        <w:tc>
          <w:tcPr>
            <w:tcW w:w="1150"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数控火焰切割机、自制抛光机</w:t>
            </w:r>
          </w:p>
        </w:tc>
        <w:tc>
          <w:tcPr>
            <w:tcW w:w="1012" w:type="dxa"/>
            <w:vAlign w:val="center"/>
          </w:tcPr>
          <w:p>
            <w:pPr>
              <w:tabs>
                <w:tab w:val="left" w:pos="2604"/>
              </w:tabs>
              <w:jc w:val="center"/>
              <w:rPr>
                <w:color w:val="auto"/>
                <w:sz w:val="21"/>
                <w:szCs w:val="21"/>
                <w:highlight w:val="none"/>
              </w:rPr>
            </w:pPr>
            <w:r>
              <w:rPr>
                <w:rFonts w:hint="eastAsia"/>
                <w:color w:val="auto"/>
                <w:szCs w:val="21"/>
                <w:highlight w:val="none"/>
                <w:lang w:eastAsia="zh-CN"/>
              </w:rPr>
              <w:t>颗粒物</w:t>
            </w:r>
          </w:p>
        </w:tc>
        <w:tc>
          <w:tcPr>
            <w:tcW w:w="3365" w:type="dxa"/>
            <w:vAlign w:val="center"/>
          </w:tcPr>
          <w:p>
            <w:pPr>
              <w:widowControl/>
              <w:tabs>
                <w:tab w:val="left" w:pos="2951"/>
              </w:tabs>
              <w:jc w:val="center"/>
              <w:rPr>
                <w:rFonts w:hint="default" w:ascii="Times New Roman" w:hAnsi="Times New Roman" w:cs="Times New Roman"/>
                <w:color w:val="auto"/>
                <w:sz w:val="21"/>
                <w:szCs w:val="21"/>
                <w:highlight w:val="none"/>
                <w:lang w:val="en-US" w:eastAsia="zh-CN" w:bidi="he-IL"/>
              </w:rPr>
            </w:pPr>
            <w:r>
              <w:rPr>
                <w:rFonts w:hint="eastAsia" w:cs="Times New Roman"/>
                <w:color w:val="auto"/>
                <w:sz w:val="21"/>
                <w:szCs w:val="21"/>
                <w:highlight w:val="none"/>
                <w:lang w:eastAsia="zh-CN" w:bidi="he-IL"/>
              </w:rPr>
              <w:t>封闭车间</w:t>
            </w:r>
          </w:p>
        </w:tc>
        <w:tc>
          <w:tcPr>
            <w:tcW w:w="27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rPr>
            </w:pPr>
            <w:r>
              <w:rPr>
                <w:color w:val="auto"/>
                <w:sz w:val="21"/>
                <w:szCs w:val="21"/>
                <w:highlight w:val="none"/>
              </w:rPr>
              <w:t>《大气污染物综合排放标准》（GB16297-1996）</w:t>
            </w:r>
            <w:r>
              <w:rPr>
                <w:rFonts w:hint="eastAsia"/>
                <w:color w:val="auto"/>
                <w:sz w:val="21"/>
                <w:szCs w:val="21"/>
                <w:highlight w:val="none"/>
              </w:rPr>
              <w:t>表2</w:t>
            </w:r>
            <w:r>
              <w:rPr>
                <w:color w:val="auto"/>
                <w:sz w:val="21"/>
                <w:szCs w:val="21"/>
                <w:highlight w:val="none"/>
              </w:rPr>
              <w:t>无组织排放监控浓度限值（</w:t>
            </w:r>
            <w:r>
              <w:rPr>
                <w:rFonts w:hint="eastAsia"/>
                <w:color w:val="auto"/>
                <w:sz w:val="21"/>
                <w:szCs w:val="21"/>
                <w:highlight w:val="none"/>
                <w:lang w:eastAsia="zh-CN"/>
              </w:rPr>
              <w:t>≤</w:t>
            </w:r>
            <w:r>
              <w:rPr>
                <w:color w:val="auto"/>
                <w:sz w:val="21"/>
                <w:szCs w:val="21"/>
                <w:highlight w:val="none"/>
              </w:rPr>
              <w:t>1.0mg/m</w:t>
            </w:r>
            <w:r>
              <w:rPr>
                <w:color w:val="auto"/>
                <w:sz w:val="21"/>
                <w:szCs w:val="21"/>
                <w:highlight w:val="none"/>
                <w:vertAlign w:val="superscript"/>
              </w:rPr>
              <w:t>3</w:t>
            </w:r>
            <w:r>
              <w:rPr>
                <w:color w:val="auto"/>
                <w:sz w:val="21"/>
                <w:szCs w:val="21"/>
                <w:highlight w:val="none"/>
              </w:rPr>
              <w:t>）</w:t>
            </w:r>
            <w:r>
              <w:rPr>
                <w:rFonts w:hint="eastAsia"/>
                <w:color w:val="auto"/>
                <w:sz w:val="21"/>
                <w:szCs w:val="21"/>
                <w:highlight w:val="none"/>
                <w:lang w:eastAsia="zh-CN"/>
              </w:rPr>
              <w:t>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078" w:type="dxa"/>
            <w:vAlign w:val="center"/>
          </w:tcPr>
          <w:p>
            <w:pPr>
              <w:jc w:val="center"/>
              <w:rPr>
                <w:color w:val="auto"/>
                <w:kern w:val="24"/>
                <w:sz w:val="24"/>
                <w:highlight w:val="none"/>
              </w:rPr>
            </w:pPr>
            <w:r>
              <w:rPr>
                <w:color w:val="auto"/>
                <w:kern w:val="24"/>
                <w:sz w:val="24"/>
                <w:highlight w:val="none"/>
              </w:rPr>
              <w:t>水</w:t>
            </w:r>
          </w:p>
          <w:p>
            <w:pPr>
              <w:jc w:val="center"/>
              <w:rPr>
                <w:color w:val="auto"/>
                <w:kern w:val="24"/>
                <w:sz w:val="24"/>
                <w:highlight w:val="none"/>
              </w:rPr>
            </w:pPr>
            <w:r>
              <w:rPr>
                <w:color w:val="auto"/>
                <w:kern w:val="24"/>
                <w:sz w:val="24"/>
                <w:highlight w:val="none"/>
              </w:rPr>
              <w:t>污</w:t>
            </w:r>
          </w:p>
          <w:p>
            <w:pPr>
              <w:jc w:val="center"/>
              <w:rPr>
                <w:color w:val="auto"/>
                <w:kern w:val="24"/>
                <w:sz w:val="24"/>
                <w:highlight w:val="none"/>
              </w:rPr>
            </w:pPr>
            <w:r>
              <w:rPr>
                <w:color w:val="auto"/>
                <w:kern w:val="24"/>
                <w:sz w:val="24"/>
                <w:highlight w:val="none"/>
              </w:rPr>
              <w:t>染</w:t>
            </w:r>
          </w:p>
          <w:p>
            <w:pPr>
              <w:jc w:val="center"/>
              <w:rPr>
                <w:color w:val="auto"/>
                <w:kern w:val="24"/>
                <w:sz w:val="24"/>
                <w:highlight w:val="none"/>
              </w:rPr>
            </w:pPr>
            <w:r>
              <w:rPr>
                <w:color w:val="auto"/>
                <w:kern w:val="24"/>
                <w:sz w:val="24"/>
                <w:highlight w:val="none"/>
              </w:rPr>
              <w:t>物</w:t>
            </w:r>
          </w:p>
        </w:tc>
        <w:tc>
          <w:tcPr>
            <w:tcW w:w="1150" w:type="dxa"/>
            <w:tcBorders>
              <w:bottom w:val="single" w:color="auto" w:sz="4" w:space="0"/>
            </w:tcBorders>
            <w:vAlign w:val="center"/>
          </w:tcPr>
          <w:p>
            <w:pPr>
              <w:pStyle w:val="44"/>
              <w:spacing w:line="0" w:lineRule="atLeas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w:t>
            </w:r>
          </w:p>
        </w:tc>
        <w:tc>
          <w:tcPr>
            <w:tcW w:w="1012" w:type="dxa"/>
            <w:tcBorders>
              <w:bottom w:val="single" w:color="auto" w:sz="4" w:space="0"/>
            </w:tcBorders>
            <w:vAlign w:val="center"/>
          </w:tcPr>
          <w:p>
            <w:pPr>
              <w:spacing w:line="0" w:lineRule="atLeas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w:t>
            </w:r>
          </w:p>
        </w:tc>
        <w:tc>
          <w:tcPr>
            <w:tcW w:w="3365" w:type="dxa"/>
            <w:tcBorders>
              <w:bottom w:val="single" w:color="auto" w:sz="4" w:space="0"/>
            </w:tcBorders>
            <w:vAlign w:val="center"/>
          </w:tcPr>
          <w:p>
            <w:pPr>
              <w:widowControl/>
              <w:tabs>
                <w:tab w:val="left" w:pos="2951"/>
              </w:tabs>
              <w:jc w:val="center"/>
              <w:rPr>
                <w:rFonts w:hint="eastAsia" w:eastAsia="宋体"/>
                <w:color w:val="auto"/>
                <w:kern w:val="24"/>
                <w:sz w:val="21"/>
                <w:szCs w:val="21"/>
                <w:highlight w:val="none"/>
                <w:lang w:val="en-US" w:eastAsia="zh-CN"/>
              </w:rPr>
            </w:pPr>
            <w:r>
              <w:rPr>
                <w:rFonts w:hint="eastAsia"/>
                <w:color w:val="auto"/>
                <w:kern w:val="24"/>
                <w:sz w:val="21"/>
                <w:szCs w:val="21"/>
                <w:highlight w:val="none"/>
                <w:lang w:val="en-US" w:eastAsia="zh-CN"/>
              </w:rPr>
              <w:t>/</w:t>
            </w:r>
          </w:p>
        </w:tc>
        <w:tc>
          <w:tcPr>
            <w:tcW w:w="2750" w:type="dxa"/>
            <w:vAlign w:val="center"/>
          </w:tcPr>
          <w:p>
            <w:pPr>
              <w:spacing w:before="120" w:line="400" w:lineRule="exact"/>
              <w:ind w:right="57"/>
              <w:jc w:val="center"/>
              <w:rPr>
                <w:rFonts w:hint="eastAsia" w:eastAsia="宋体"/>
                <w:color w:val="auto"/>
                <w:kern w:val="24"/>
                <w:sz w:val="21"/>
                <w:szCs w:val="21"/>
                <w:highlight w:val="none"/>
                <w:lang w:eastAsia="zh-CN"/>
              </w:rPr>
            </w:pPr>
            <w:r>
              <w:rPr>
                <w:rFonts w:hint="eastAsia"/>
                <w:color w:val="auto"/>
                <w:kern w:val="24"/>
                <w:sz w:val="21"/>
                <w:szCs w:val="21"/>
                <w:highlight w:val="none"/>
                <w:lang w:val="en-US"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45" w:hRule="atLeast"/>
          <w:jc w:val="center"/>
        </w:trPr>
        <w:tc>
          <w:tcPr>
            <w:tcW w:w="1078" w:type="dxa"/>
            <w:vMerge w:val="restart"/>
            <w:vAlign w:val="center"/>
          </w:tcPr>
          <w:p>
            <w:pPr>
              <w:spacing w:line="400" w:lineRule="exact"/>
              <w:jc w:val="center"/>
              <w:rPr>
                <w:color w:val="auto"/>
                <w:kern w:val="24"/>
                <w:sz w:val="24"/>
                <w:highlight w:val="none"/>
              </w:rPr>
            </w:pPr>
            <w:r>
              <w:rPr>
                <w:color w:val="auto"/>
                <w:kern w:val="24"/>
                <w:sz w:val="24"/>
                <w:highlight w:val="none"/>
              </w:rPr>
              <w:t>固</w:t>
            </w:r>
          </w:p>
          <w:p>
            <w:pPr>
              <w:spacing w:line="400" w:lineRule="exact"/>
              <w:jc w:val="center"/>
              <w:rPr>
                <w:color w:val="auto"/>
                <w:kern w:val="24"/>
                <w:sz w:val="24"/>
                <w:highlight w:val="none"/>
              </w:rPr>
            </w:pPr>
            <w:r>
              <w:rPr>
                <w:color w:val="auto"/>
                <w:kern w:val="24"/>
                <w:sz w:val="24"/>
                <w:highlight w:val="none"/>
              </w:rPr>
              <w:t>体</w:t>
            </w:r>
          </w:p>
          <w:p>
            <w:pPr>
              <w:spacing w:line="400" w:lineRule="exact"/>
              <w:jc w:val="center"/>
              <w:rPr>
                <w:color w:val="auto"/>
                <w:kern w:val="24"/>
                <w:sz w:val="24"/>
                <w:highlight w:val="none"/>
              </w:rPr>
            </w:pPr>
            <w:r>
              <w:rPr>
                <w:color w:val="auto"/>
                <w:kern w:val="24"/>
                <w:sz w:val="24"/>
                <w:highlight w:val="none"/>
              </w:rPr>
              <w:t>废</w:t>
            </w:r>
          </w:p>
          <w:p>
            <w:pPr>
              <w:spacing w:line="400" w:lineRule="exact"/>
              <w:jc w:val="center"/>
              <w:rPr>
                <w:color w:val="auto"/>
                <w:kern w:val="24"/>
                <w:sz w:val="24"/>
                <w:highlight w:val="none"/>
              </w:rPr>
            </w:pPr>
            <w:r>
              <w:rPr>
                <w:color w:val="auto"/>
                <w:kern w:val="24"/>
                <w:sz w:val="24"/>
                <w:highlight w:val="none"/>
              </w:rPr>
              <w:t>物</w:t>
            </w:r>
          </w:p>
        </w:tc>
        <w:tc>
          <w:tcPr>
            <w:tcW w:w="1150"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下料、</w:t>
            </w:r>
            <w:r>
              <w:rPr>
                <w:rFonts w:hint="eastAsia"/>
                <w:color w:val="auto"/>
                <w:szCs w:val="21"/>
                <w:highlight w:val="none"/>
                <w:lang w:eastAsia="zh-CN"/>
              </w:rPr>
              <w:t>机加工</w:t>
            </w:r>
          </w:p>
        </w:tc>
        <w:tc>
          <w:tcPr>
            <w:tcW w:w="101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下脚料</w:t>
            </w:r>
          </w:p>
        </w:tc>
        <w:tc>
          <w:tcPr>
            <w:tcW w:w="3365" w:type="dxa"/>
            <w:vAlign w:val="center"/>
          </w:tcPr>
          <w:p>
            <w:pPr>
              <w:spacing w:line="0" w:lineRule="atLeast"/>
              <w:jc w:val="center"/>
              <w:rPr>
                <w:rFonts w:ascii="Times New Roman" w:hAnsi="Times New Roman" w:eastAsia="宋体" w:cs="Times New Roman"/>
                <w:color w:val="auto"/>
                <w:spacing w:val="6"/>
                <w:kern w:val="2"/>
                <w:sz w:val="21"/>
                <w:szCs w:val="21"/>
                <w:highlight w:val="none"/>
                <w:lang w:val="en-US" w:eastAsia="zh-CN" w:bidi="ar-SA"/>
              </w:rPr>
            </w:pPr>
            <w:r>
              <w:rPr>
                <w:color w:val="auto"/>
                <w:szCs w:val="21"/>
                <w:highlight w:val="none"/>
              </w:rPr>
              <w:t>集中收集后外售</w:t>
            </w:r>
          </w:p>
        </w:tc>
        <w:tc>
          <w:tcPr>
            <w:tcW w:w="2750" w:type="dxa"/>
            <w:vMerge w:val="restart"/>
            <w:vAlign w:val="center"/>
          </w:tcPr>
          <w:p>
            <w:pPr>
              <w:spacing w:line="400" w:lineRule="exact"/>
              <w:ind w:right="113"/>
              <w:jc w:val="center"/>
              <w:rPr>
                <w:color w:val="auto"/>
                <w:kern w:val="0"/>
                <w:sz w:val="21"/>
                <w:szCs w:val="21"/>
                <w:highlight w:val="none"/>
              </w:rPr>
            </w:pPr>
            <w:r>
              <w:rPr>
                <w:color w:val="auto"/>
                <w:kern w:val="0"/>
                <w:sz w:val="21"/>
                <w:szCs w:val="21"/>
                <w:highlight w:val="none"/>
              </w:rPr>
              <w:t>妥善处置</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45" w:hRule="atLeast"/>
          <w:jc w:val="center"/>
        </w:trPr>
        <w:tc>
          <w:tcPr>
            <w:tcW w:w="1078" w:type="dxa"/>
            <w:vMerge w:val="continue"/>
            <w:vAlign w:val="center"/>
          </w:tcPr>
          <w:p>
            <w:pPr>
              <w:spacing w:line="400" w:lineRule="exact"/>
              <w:jc w:val="center"/>
              <w:rPr>
                <w:color w:val="auto"/>
                <w:kern w:val="24"/>
                <w:sz w:val="24"/>
                <w:highlight w:val="none"/>
              </w:rPr>
            </w:pPr>
          </w:p>
        </w:tc>
        <w:tc>
          <w:tcPr>
            <w:tcW w:w="1150" w:type="dxa"/>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除尘器</w:t>
            </w:r>
          </w:p>
        </w:tc>
        <w:tc>
          <w:tcPr>
            <w:tcW w:w="1012" w:type="dxa"/>
            <w:vAlign w:val="center"/>
          </w:tcPr>
          <w:p>
            <w:pPr>
              <w:tabs>
                <w:tab w:val="left" w:pos="2604"/>
              </w:tabs>
              <w:jc w:val="center"/>
              <w:rPr>
                <w:rFonts w:hint="eastAsia" w:eastAsia="宋体"/>
                <w:color w:val="auto"/>
                <w:szCs w:val="21"/>
                <w:highlight w:val="none"/>
                <w:lang w:eastAsia="zh-CN"/>
              </w:rPr>
            </w:pPr>
            <w:r>
              <w:rPr>
                <w:rFonts w:hint="eastAsia"/>
                <w:color w:val="auto"/>
                <w:szCs w:val="21"/>
                <w:highlight w:val="none"/>
                <w:lang w:eastAsia="zh-CN"/>
              </w:rPr>
              <w:t>除尘灰</w:t>
            </w:r>
          </w:p>
        </w:tc>
        <w:tc>
          <w:tcPr>
            <w:tcW w:w="3365" w:type="dxa"/>
            <w:vAlign w:val="center"/>
          </w:tcPr>
          <w:p>
            <w:pPr>
              <w:spacing w:line="0" w:lineRule="atLeast"/>
              <w:jc w:val="center"/>
              <w:rPr>
                <w:color w:val="auto"/>
                <w:szCs w:val="21"/>
                <w:highlight w:val="none"/>
              </w:rPr>
            </w:pPr>
            <w:r>
              <w:rPr>
                <w:color w:val="auto"/>
                <w:szCs w:val="21"/>
                <w:highlight w:val="none"/>
              </w:rPr>
              <w:t>集中收集后外售</w:t>
            </w:r>
          </w:p>
        </w:tc>
        <w:tc>
          <w:tcPr>
            <w:tcW w:w="2750" w:type="dxa"/>
            <w:vMerge w:val="continue"/>
            <w:vAlign w:val="center"/>
          </w:tcPr>
          <w:p>
            <w:pPr>
              <w:spacing w:line="400" w:lineRule="exact"/>
              <w:ind w:right="113"/>
              <w:jc w:val="center"/>
              <w:rPr>
                <w:color w:val="auto"/>
                <w:kern w:val="0"/>
                <w:sz w:val="21"/>
                <w:szCs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40" w:hRule="atLeast"/>
          <w:jc w:val="center"/>
        </w:trPr>
        <w:tc>
          <w:tcPr>
            <w:tcW w:w="1078" w:type="dxa"/>
            <w:vMerge w:val="continue"/>
            <w:vAlign w:val="center"/>
          </w:tcPr>
          <w:p>
            <w:pPr>
              <w:spacing w:line="400" w:lineRule="exact"/>
              <w:jc w:val="center"/>
              <w:rPr>
                <w:color w:val="auto"/>
                <w:kern w:val="24"/>
                <w:sz w:val="24"/>
                <w:highlight w:val="none"/>
              </w:rPr>
            </w:pPr>
          </w:p>
        </w:tc>
        <w:tc>
          <w:tcPr>
            <w:tcW w:w="1150"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铣床</w:t>
            </w:r>
            <w:r>
              <w:rPr>
                <w:rFonts w:hint="eastAsia"/>
                <w:color w:val="auto"/>
                <w:szCs w:val="21"/>
                <w:highlight w:val="none"/>
                <w:lang w:eastAsia="zh-CN"/>
              </w:rPr>
              <w:t>、锯床、线切割机</w:t>
            </w:r>
          </w:p>
        </w:tc>
        <w:tc>
          <w:tcPr>
            <w:tcW w:w="101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含油金属屑</w:t>
            </w:r>
          </w:p>
        </w:tc>
        <w:tc>
          <w:tcPr>
            <w:tcW w:w="3365" w:type="dxa"/>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18"/>
                <w:szCs w:val="18"/>
                <w:highlight w:val="none"/>
              </w:rPr>
              <w:t>含</w:t>
            </w:r>
            <w:r>
              <w:rPr>
                <w:rFonts w:hint="eastAsia"/>
                <w:color w:val="auto"/>
                <w:sz w:val="18"/>
                <w:szCs w:val="18"/>
                <w:highlight w:val="none"/>
                <w:lang w:eastAsia="zh-CN"/>
              </w:rPr>
              <w:t>油</w:t>
            </w:r>
            <w:r>
              <w:rPr>
                <w:rFonts w:hint="eastAsia"/>
                <w:color w:val="auto"/>
                <w:sz w:val="18"/>
                <w:szCs w:val="18"/>
                <w:highlight w:val="none"/>
              </w:rPr>
              <w:t>金属屑单独收集后放入离心分离设备内，在离心力的作用下，将金属屑与</w:t>
            </w:r>
            <w:r>
              <w:rPr>
                <w:rFonts w:hint="eastAsia"/>
                <w:color w:val="auto"/>
                <w:sz w:val="18"/>
                <w:szCs w:val="18"/>
                <w:highlight w:val="none"/>
                <w:lang w:eastAsia="zh-CN"/>
              </w:rPr>
              <w:t>废</w:t>
            </w:r>
            <w:r>
              <w:rPr>
                <w:rFonts w:hint="eastAsia"/>
                <w:color w:val="auto"/>
                <w:sz w:val="18"/>
                <w:szCs w:val="18"/>
                <w:highlight w:val="none"/>
              </w:rPr>
              <w:t>切削液分开，离</w:t>
            </w:r>
            <w:r>
              <w:rPr>
                <w:rFonts w:hint="eastAsia"/>
                <w:color w:val="auto"/>
                <w:sz w:val="18"/>
                <w:szCs w:val="18"/>
                <w:highlight w:val="none"/>
                <w:lang w:eastAsia="zh-CN"/>
              </w:rPr>
              <w:t>心</w:t>
            </w:r>
            <w:r>
              <w:rPr>
                <w:rFonts w:hint="eastAsia"/>
                <w:color w:val="auto"/>
                <w:sz w:val="18"/>
                <w:szCs w:val="18"/>
                <w:highlight w:val="none"/>
              </w:rPr>
              <w:t>设备收集桶内收集的废切削液倒入回收桶内，加盖储存，可重新回用于生产，</w:t>
            </w:r>
            <w:r>
              <w:rPr>
                <w:rFonts w:hint="eastAsia"/>
                <w:color w:val="auto"/>
                <w:sz w:val="18"/>
                <w:szCs w:val="18"/>
                <w:highlight w:val="none"/>
                <w:lang w:eastAsia="zh-CN"/>
              </w:rPr>
              <w:t>定期更换；</w:t>
            </w:r>
            <w:r>
              <w:rPr>
                <w:rFonts w:hint="eastAsia"/>
                <w:color w:val="auto"/>
                <w:highlight w:val="none"/>
              </w:rPr>
              <w:t>离心后的废金属屑袋装收集储存不落地</w:t>
            </w:r>
            <w:r>
              <w:rPr>
                <w:rFonts w:hint="eastAsia"/>
                <w:color w:val="auto"/>
                <w:highlight w:val="none"/>
                <w:lang w:eastAsia="zh-CN"/>
              </w:rPr>
              <w:t>，集中收集后外售</w:t>
            </w:r>
          </w:p>
        </w:tc>
        <w:tc>
          <w:tcPr>
            <w:tcW w:w="2750" w:type="dxa"/>
            <w:vMerge w:val="continue"/>
            <w:vAlign w:val="center"/>
          </w:tcPr>
          <w:p>
            <w:pPr>
              <w:spacing w:line="400" w:lineRule="exact"/>
              <w:ind w:right="113"/>
              <w:jc w:val="center"/>
              <w:rPr>
                <w:color w:val="auto"/>
                <w:kern w:val="0"/>
                <w:sz w:val="21"/>
                <w:szCs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078" w:type="dxa"/>
            <w:vMerge w:val="continue"/>
            <w:vAlign w:val="center"/>
          </w:tcPr>
          <w:p>
            <w:pPr>
              <w:spacing w:line="400" w:lineRule="exact"/>
              <w:jc w:val="center"/>
              <w:rPr>
                <w:color w:val="auto"/>
                <w:kern w:val="24"/>
                <w:sz w:val="24"/>
                <w:highlight w:val="none"/>
              </w:rPr>
            </w:pPr>
          </w:p>
        </w:tc>
        <w:tc>
          <w:tcPr>
            <w:tcW w:w="1150" w:type="dxa"/>
            <w:vMerge w:val="restart"/>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设备运转维修</w:t>
            </w:r>
          </w:p>
        </w:tc>
        <w:tc>
          <w:tcPr>
            <w:tcW w:w="101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废切削液</w:t>
            </w:r>
          </w:p>
        </w:tc>
        <w:tc>
          <w:tcPr>
            <w:tcW w:w="3365" w:type="dxa"/>
            <w:vMerge w:val="restart"/>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he-IL"/>
              </w:rPr>
            </w:pPr>
            <w:r>
              <w:rPr>
                <w:color w:val="auto"/>
                <w:szCs w:val="21"/>
                <w:highlight w:val="none"/>
              </w:rPr>
              <w:t>暂存于危废暂存间，委托有资质的单位处理</w:t>
            </w:r>
          </w:p>
        </w:tc>
        <w:tc>
          <w:tcPr>
            <w:tcW w:w="2750" w:type="dxa"/>
            <w:vMerge w:val="continue"/>
            <w:vAlign w:val="center"/>
          </w:tcPr>
          <w:p>
            <w:pPr>
              <w:spacing w:line="400" w:lineRule="exact"/>
              <w:ind w:right="113"/>
              <w:jc w:val="center"/>
              <w:rPr>
                <w:color w:val="auto"/>
                <w:kern w:val="0"/>
                <w:sz w:val="21"/>
                <w:szCs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078" w:type="dxa"/>
            <w:vMerge w:val="continue"/>
            <w:vAlign w:val="center"/>
          </w:tcPr>
          <w:p>
            <w:pPr>
              <w:spacing w:line="400" w:lineRule="exact"/>
              <w:jc w:val="center"/>
              <w:rPr>
                <w:color w:val="auto"/>
                <w:kern w:val="24"/>
                <w:sz w:val="24"/>
                <w:highlight w:val="none"/>
              </w:rPr>
            </w:pPr>
          </w:p>
        </w:tc>
        <w:tc>
          <w:tcPr>
            <w:tcW w:w="1150" w:type="dxa"/>
            <w:vMerge w:val="continue"/>
            <w:vAlign w:val="center"/>
          </w:tcPr>
          <w:p>
            <w:pPr>
              <w:widowControl/>
              <w:tabs>
                <w:tab w:val="left" w:pos="2951"/>
              </w:tabs>
              <w:jc w:val="center"/>
              <w:rPr>
                <w:rFonts w:hint="eastAsia" w:ascii="Times New Roman" w:hAnsi="Times New Roman" w:eastAsia="宋体" w:cs="Times New Roman"/>
                <w:color w:val="auto"/>
                <w:sz w:val="21"/>
                <w:szCs w:val="21"/>
                <w:highlight w:val="none"/>
                <w:lang w:val="en-US" w:eastAsia="zh-CN" w:bidi="he-IL"/>
              </w:rPr>
            </w:pPr>
          </w:p>
        </w:tc>
        <w:tc>
          <w:tcPr>
            <w:tcW w:w="101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废润滑油</w:t>
            </w:r>
          </w:p>
        </w:tc>
        <w:tc>
          <w:tcPr>
            <w:tcW w:w="3365" w:type="dxa"/>
            <w:vMerge w:val="continue"/>
            <w:vAlign w:val="center"/>
          </w:tcPr>
          <w:p>
            <w:pPr>
              <w:widowControl/>
              <w:tabs>
                <w:tab w:val="left" w:pos="2951"/>
              </w:tabs>
              <w:jc w:val="center"/>
              <w:rPr>
                <w:rFonts w:hint="eastAsia" w:ascii="Times New Roman" w:hAnsi="Times New Roman" w:eastAsia="宋体" w:cs="Times New Roman"/>
                <w:color w:val="auto"/>
                <w:sz w:val="21"/>
                <w:szCs w:val="21"/>
                <w:highlight w:val="none"/>
                <w:lang w:val="en-US" w:eastAsia="zh-CN" w:bidi="he-IL"/>
              </w:rPr>
            </w:pPr>
          </w:p>
        </w:tc>
        <w:tc>
          <w:tcPr>
            <w:tcW w:w="2750" w:type="dxa"/>
            <w:vMerge w:val="continue"/>
            <w:vAlign w:val="center"/>
          </w:tcPr>
          <w:p>
            <w:pPr>
              <w:spacing w:line="400" w:lineRule="exact"/>
              <w:ind w:right="113"/>
              <w:jc w:val="center"/>
              <w:rPr>
                <w:color w:val="auto"/>
                <w:kern w:val="0"/>
                <w:sz w:val="21"/>
                <w:szCs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078" w:type="dxa"/>
            <w:vMerge w:val="continue"/>
            <w:vAlign w:val="center"/>
          </w:tcPr>
          <w:p>
            <w:pPr>
              <w:spacing w:line="400" w:lineRule="exact"/>
              <w:jc w:val="center"/>
              <w:rPr>
                <w:color w:val="auto"/>
                <w:kern w:val="24"/>
                <w:sz w:val="24"/>
                <w:highlight w:val="none"/>
              </w:rPr>
            </w:pPr>
          </w:p>
        </w:tc>
        <w:tc>
          <w:tcPr>
            <w:tcW w:w="1150" w:type="dxa"/>
            <w:vMerge w:val="continue"/>
            <w:vAlign w:val="center"/>
          </w:tcPr>
          <w:p>
            <w:pPr>
              <w:widowControl/>
              <w:jc w:val="center"/>
              <w:rPr>
                <w:rFonts w:hint="eastAsia" w:ascii="Times New Roman" w:hAnsi="Times New Roman" w:eastAsia="宋体" w:cs="Times New Roman"/>
                <w:color w:val="auto"/>
                <w:kern w:val="2"/>
                <w:sz w:val="21"/>
                <w:szCs w:val="21"/>
                <w:highlight w:val="none"/>
                <w:lang w:val="zh-CN" w:eastAsia="zh-CN" w:bidi="ar-SA"/>
              </w:rPr>
            </w:pPr>
          </w:p>
        </w:tc>
        <w:tc>
          <w:tcPr>
            <w:tcW w:w="101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废液压油</w:t>
            </w:r>
          </w:p>
        </w:tc>
        <w:tc>
          <w:tcPr>
            <w:tcW w:w="3365" w:type="dxa"/>
            <w:vMerge w:val="continue"/>
            <w:vAlign w:val="center"/>
          </w:tcPr>
          <w:p>
            <w:pPr>
              <w:spacing w:line="0" w:lineRule="atLeast"/>
              <w:jc w:val="center"/>
              <w:rPr>
                <w:rFonts w:ascii="Times New Roman" w:hAnsi="Times New Roman" w:eastAsia="宋体" w:cs="Times New Roman"/>
                <w:color w:val="auto"/>
                <w:kern w:val="2"/>
                <w:sz w:val="21"/>
                <w:szCs w:val="21"/>
                <w:highlight w:val="none"/>
                <w:lang w:val="en-US" w:eastAsia="zh-CN" w:bidi="he-IL"/>
              </w:rPr>
            </w:pPr>
          </w:p>
        </w:tc>
        <w:tc>
          <w:tcPr>
            <w:tcW w:w="2750" w:type="dxa"/>
            <w:vMerge w:val="continue"/>
            <w:vAlign w:val="center"/>
          </w:tcPr>
          <w:p>
            <w:pPr>
              <w:spacing w:line="400" w:lineRule="exact"/>
              <w:ind w:right="113"/>
              <w:jc w:val="center"/>
              <w:rPr>
                <w:color w:val="auto"/>
                <w:kern w:val="0"/>
                <w:sz w:val="21"/>
                <w:szCs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078" w:type="dxa"/>
            <w:vMerge w:val="continue"/>
            <w:vAlign w:val="center"/>
          </w:tcPr>
          <w:p>
            <w:pPr>
              <w:spacing w:line="400" w:lineRule="exact"/>
              <w:jc w:val="center"/>
              <w:rPr>
                <w:color w:val="auto"/>
                <w:kern w:val="24"/>
                <w:sz w:val="24"/>
                <w:highlight w:val="none"/>
              </w:rPr>
            </w:pPr>
          </w:p>
        </w:tc>
        <w:tc>
          <w:tcPr>
            <w:tcW w:w="1150" w:type="dxa"/>
            <w:vMerge w:val="continue"/>
            <w:vAlign w:val="center"/>
          </w:tcPr>
          <w:p>
            <w:pPr>
              <w:widowControl/>
              <w:jc w:val="center"/>
              <w:rPr>
                <w:rFonts w:hint="eastAsia" w:ascii="Times New Roman" w:hAnsi="Times New Roman" w:eastAsia="宋体" w:cs="Times New Roman"/>
                <w:color w:val="auto"/>
                <w:kern w:val="2"/>
                <w:sz w:val="21"/>
                <w:szCs w:val="21"/>
                <w:highlight w:val="none"/>
                <w:lang w:val="en-US" w:eastAsia="zh-CN" w:bidi="ar-SA"/>
              </w:rPr>
            </w:pPr>
          </w:p>
        </w:tc>
        <w:tc>
          <w:tcPr>
            <w:tcW w:w="101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废包装桶</w:t>
            </w:r>
          </w:p>
        </w:tc>
        <w:tc>
          <w:tcPr>
            <w:tcW w:w="3365" w:type="dxa"/>
            <w:vMerge w:val="continue"/>
            <w:vAlign w:val="center"/>
          </w:tcPr>
          <w:p>
            <w:pPr>
              <w:autoSpaceDE w:val="0"/>
              <w:autoSpaceDN w:val="0"/>
              <w:adjustRightInd w:val="0"/>
              <w:spacing w:line="0" w:lineRule="atLeast"/>
              <w:jc w:val="center"/>
              <w:rPr>
                <w:color w:val="auto"/>
                <w:sz w:val="21"/>
                <w:szCs w:val="21"/>
                <w:highlight w:val="none"/>
                <w:lang w:bidi="he-IL"/>
              </w:rPr>
            </w:pPr>
          </w:p>
        </w:tc>
        <w:tc>
          <w:tcPr>
            <w:tcW w:w="2750" w:type="dxa"/>
            <w:vMerge w:val="continue"/>
            <w:vAlign w:val="center"/>
          </w:tcPr>
          <w:p>
            <w:pPr>
              <w:spacing w:line="400" w:lineRule="exact"/>
              <w:ind w:right="113"/>
              <w:jc w:val="center"/>
              <w:rPr>
                <w:color w:val="auto"/>
                <w:kern w:val="0"/>
                <w:sz w:val="21"/>
                <w:szCs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078" w:type="dxa"/>
            <w:vMerge w:val="continue"/>
            <w:vAlign w:val="center"/>
          </w:tcPr>
          <w:p>
            <w:pPr>
              <w:spacing w:line="400" w:lineRule="exact"/>
              <w:jc w:val="center"/>
              <w:rPr>
                <w:color w:val="auto"/>
                <w:kern w:val="24"/>
                <w:sz w:val="24"/>
                <w:highlight w:val="none"/>
              </w:rPr>
            </w:pPr>
          </w:p>
        </w:tc>
        <w:tc>
          <w:tcPr>
            <w:tcW w:w="1150" w:type="dxa"/>
            <w:vAlign w:val="center"/>
          </w:tcPr>
          <w:p>
            <w:pPr>
              <w:widowControl/>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设备维修</w:t>
            </w:r>
          </w:p>
        </w:tc>
        <w:tc>
          <w:tcPr>
            <w:tcW w:w="1012" w:type="dxa"/>
            <w:vAlign w:val="center"/>
          </w:tcPr>
          <w:p>
            <w:pPr>
              <w:tabs>
                <w:tab w:val="left" w:pos="2604"/>
              </w:tabs>
              <w:jc w:val="center"/>
              <w:rPr>
                <w:rFonts w:hint="eastAsia" w:eastAsia="宋体"/>
                <w:color w:val="auto"/>
                <w:szCs w:val="21"/>
                <w:highlight w:val="none"/>
                <w:lang w:eastAsia="zh-CN"/>
              </w:rPr>
            </w:pPr>
            <w:r>
              <w:rPr>
                <w:rFonts w:hint="eastAsia"/>
                <w:snapToGrid w:val="0"/>
                <w:color w:val="auto"/>
                <w:sz w:val="21"/>
                <w:szCs w:val="21"/>
                <w:highlight w:val="none"/>
                <w:lang w:eastAsia="zh-CN"/>
              </w:rPr>
              <w:t>含油废抹布及废手套</w:t>
            </w:r>
          </w:p>
        </w:tc>
        <w:tc>
          <w:tcPr>
            <w:tcW w:w="3365" w:type="dxa"/>
            <w:vMerge w:val="continue"/>
            <w:vAlign w:val="center"/>
          </w:tcPr>
          <w:p>
            <w:pPr>
              <w:autoSpaceDE w:val="0"/>
              <w:autoSpaceDN w:val="0"/>
              <w:adjustRightInd w:val="0"/>
              <w:spacing w:line="0" w:lineRule="atLeast"/>
              <w:jc w:val="center"/>
              <w:rPr>
                <w:color w:val="auto"/>
                <w:sz w:val="21"/>
                <w:szCs w:val="21"/>
                <w:highlight w:val="none"/>
                <w:lang w:bidi="he-IL"/>
              </w:rPr>
            </w:pPr>
          </w:p>
        </w:tc>
        <w:tc>
          <w:tcPr>
            <w:tcW w:w="2750" w:type="dxa"/>
            <w:vMerge w:val="continue"/>
            <w:vAlign w:val="center"/>
          </w:tcPr>
          <w:p>
            <w:pPr>
              <w:spacing w:line="400" w:lineRule="exact"/>
              <w:ind w:right="113"/>
              <w:jc w:val="center"/>
              <w:rPr>
                <w:color w:val="auto"/>
                <w:kern w:val="0"/>
                <w:sz w:val="21"/>
                <w:szCs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078" w:type="dxa"/>
            <w:vAlign w:val="center"/>
          </w:tcPr>
          <w:p>
            <w:pPr>
              <w:spacing w:line="400" w:lineRule="exact"/>
              <w:jc w:val="center"/>
              <w:rPr>
                <w:color w:val="auto"/>
                <w:kern w:val="24"/>
                <w:sz w:val="24"/>
                <w:highlight w:val="none"/>
              </w:rPr>
            </w:pPr>
            <w:r>
              <w:rPr>
                <w:color w:val="auto"/>
                <w:kern w:val="24"/>
                <w:sz w:val="24"/>
                <w:highlight w:val="none"/>
              </w:rPr>
              <w:pict>
                <v:line id="_x0000_s2060" o:spid="_x0000_s2060" o:spt="20" style="position:absolute;left:0pt;margin-left:-560pt;margin-top:36.75pt;height:0pt;width:427pt;z-index:251658240;mso-width-relative:page;mso-height-relative:page;" coordsize="21600,21600" o:allowincell="f" o:gfxdata="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Gstei1wAAAAwBAAAPAAAAAAAA&#10;AAEAIAAAACIAAABkcnMvZG93bnJldi54bWxQSwECFAAUAAAACACHTuJA5SkCndoBAACWAwAADgAA&#10;AAAAAAABACAAAAAmAQAAZHJzL2Uyb0RvYy54bWxQSwUGAAAAAAYABgBZAQAAcgUAAAAA&#10;">
                  <v:path arrowok="t"/>
                  <v:fill focussize="0,0"/>
                  <v:stroke/>
                  <v:imagedata o:title=""/>
                  <o:lock v:ext="edit"/>
                </v:line>
              </w:pict>
            </w:r>
            <w:r>
              <w:rPr>
                <w:color w:val="auto"/>
                <w:kern w:val="24"/>
                <w:sz w:val="24"/>
                <w:highlight w:val="none"/>
              </w:rPr>
              <w:t>噪</w:t>
            </w:r>
          </w:p>
          <w:p>
            <w:pPr>
              <w:spacing w:line="400" w:lineRule="exact"/>
              <w:jc w:val="center"/>
              <w:rPr>
                <w:color w:val="auto"/>
                <w:kern w:val="24"/>
                <w:sz w:val="24"/>
                <w:highlight w:val="none"/>
              </w:rPr>
            </w:pPr>
            <w:r>
              <w:rPr>
                <w:color w:val="auto"/>
                <w:kern w:val="24"/>
                <w:sz w:val="24"/>
                <w:highlight w:val="none"/>
              </w:rPr>
              <w:t>声</w:t>
            </w:r>
          </w:p>
        </w:tc>
        <w:tc>
          <w:tcPr>
            <w:tcW w:w="8277" w:type="dxa"/>
            <w:gridSpan w:val="4"/>
            <w:vAlign w:val="center"/>
          </w:tcPr>
          <w:p>
            <w:pPr>
              <w:tabs>
                <w:tab w:val="left" w:pos="2604"/>
              </w:tabs>
              <w:spacing w:line="400" w:lineRule="exact"/>
              <w:ind w:firstLine="420" w:firstLineChars="200"/>
              <w:jc w:val="left"/>
              <w:rPr>
                <w:color w:val="auto"/>
                <w:sz w:val="21"/>
                <w:szCs w:val="21"/>
                <w:highlight w:val="none"/>
              </w:rPr>
            </w:pPr>
            <w:r>
              <w:rPr>
                <w:color w:val="auto"/>
                <w:sz w:val="21"/>
                <w:szCs w:val="21"/>
                <w:highlight w:val="none"/>
                <w:lang w:val="zh-CN"/>
              </w:rPr>
              <w:t>本项目主要噪声源为</w:t>
            </w:r>
            <w:r>
              <w:rPr>
                <w:rFonts w:hint="eastAsia"/>
                <w:color w:val="auto"/>
                <w:spacing w:val="8"/>
                <w:kern w:val="24"/>
                <w:sz w:val="21"/>
                <w:szCs w:val="21"/>
                <w:highlight w:val="none"/>
                <w:lang w:val="zh-CN"/>
              </w:rPr>
              <w:t>数控火焰切割机、锯床、卷板机、加工中心、车床、钻床、磨床、镗床、铣床、自制抛光机、电阻炉、风机、空压机</w:t>
            </w:r>
            <w:r>
              <w:rPr>
                <w:rFonts w:hint="default"/>
                <w:color w:val="auto"/>
                <w:sz w:val="21"/>
                <w:szCs w:val="21"/>
                <w:highlight w:val="none"/>
                <w:lang w:val="zh-CN"/>
              </w:rPr>
              <w:t>等设备产生的噪声</w:t>
            </w:r>
            <w:r>
              <w:rPr>
                <w:color w:val="auto"/>
                <w:sz w:val="21"/>
                <w:szCs w:val="21"/>
                <w:highlight w:val="none"/>
                <w:lang w:val="zh-CN"/>
              </w:rPr>
              <w:t>，噪声源强约为</w:t>
            </w:r>
            <w:r>
              <w:rPr>
                <w:rFonts w:hint="eastAsia"/>
                <w:color w:val="auto"/>
                <w:sz w:val="21"/>
                <w:szCs w:val="21"/>
                <w:highlight w:val="none"/>
                <w:lang w:val="zh-CN" w:eastAsia="zh-CN"/>
              </w:rPr>
              <w:t>80</w:t>
            </w:r>
            <w:r>
              <w:rPr>
                <w:color w:val="auto"/>
                <w:sz w:val="21"/>
                <w:szCs w:val="21"/>
                <w:highlight w:val="none"/>
                <w:lang w:val="zh-CN"/>
              </w:rPr>
              <w:t>~</w:t>
            </w:r>
            <w:r>
              <w:rPr>
                <w:rFonts w:hint="eastAsia"/>
                <w:color w:val="auto"/>
                <w:sz w:val="21"/>
                <w:szCs w:val="21"/>
                <w:highlight w:val="none"/>
                <w:lang w:val="zh-CN" w:eastAsia="zh-CN"/>
              </w:rPr>
              <w:t>90</w:t>
            </w:r>
            <w:r>
              <w:rPr>
                <w:color w:val="auto"/>
                <w:sz w:val="21"/>
                <w:szCs w:val="21"/>
                <w:highlight w:val="none"/>
                <w:lang w:val="zh-CN"/>
              </w:rPr>
              <w:t>dB（A）。采取厂房隔声、基础减振等措施，</w:t>
            </w:r>
            <w:r>
              <w:rPr>
                <w:color w:val="auto"/>
                <w:sz w:val="21"/>
                <w:szCs w:val="21"/>
                <w:highlight w:val="none"/>
              </w:rPr>
              <w:t>并经距离衰减后，厂界噪声符合《工业企业厂界环境噪声排放标准》(GB12348－2008)</w:t>
            </w:r>
            <w:r>
              <w:rPr>
                <w:rFonts w:hint="eastAsia"/>
                <w:color w:val="auto"/>
                <w:sz w:val="21"/>
                <w:szCs w:val="21"/>
                <w:highlight w:val="none"/>
                <w:lang w:val="en-US" w:eastAsia="zh-CN"/>
              </w:rPr>
              <w:t>3</w:t>
            </w:r>
            <w:r>
              <w:rPr>
                <w:color w:val="auto"/>
                <w:sz w:val="21"/>
                <w:szCs w:val="21"/>
                <w:highlight w:val="none"/>
              </w:rPr>
              <w:t>类区标准要求。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1078" w:type="dxa"/>
            <w:tcBorders>
              <w:bottom w:val="single" w:color="auto" w:sz="4" w:space="0"/>
            </w:tcBorders>
            <w:vAlign w:val="center"/>
          </w:tcPr>
          <w:p>
            <w:pPr>
              <w:spacing w:line="400" w:lineRule="exact"/>
              <w:jc w:val="center"/>
              <w:rPr>
                <w:color w:val="auto"/>
                <w:kern w:val="24"/>
                <w:sz w:val="24"/>
                <w:highlight w:val="none"/>
              </w:rPr>
            </w:pPr>
            <w:r>
              <w:rPr>
                <w:color w:val="auto"/>
                <w:kern w:val="24"/>
                <w:sz w:val="24"/>
                <w:highlight w:val="none"/>
              </w:rPr>
              <w:t>其它</w:t>
            </w:r>
          </w:p>
        </w:tc>
        <w:tc>
          <w:tcPr>
            <w:tcW w:w="8277" w:type="dxa"/>
            <w:gridSpan w:val="4"/>
            <w:tcBorders>
              <w:bottom w:val="single" w:color="auto" w:sz="4" w:space="0"/>
            </w:tcBorders>
            <w:vAlign w:val="center"/>
          </w:tcPr>
          <w:p>
            <w:pPr>
              <w:spacing w:line="400" w:lineRule="exact"/>
              <w:ind w:right="57"/>
              <w:jc w:val="center"/>
              <w:rPr>
                <w:color w:val="auto"/>
                <w:kern w:val="24"/>
                <w:sz w:val="24"/>
                <w:highlight w:val="none"/>
              </w:rPr>
            </w:pPr>
            <w:r>
              <w:rPr>
                <w:color w:val="auto"/>
                <w:kern w:val="24"/>
                <w:sz w:val="24"/>
                <w:highlight w:val="none"/>
              </w:rPr>
              <w:t>无</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20" w:hRule="atLeast"/>
          <w:jc w:val="center"/>
        </w:trPr>
        <w:tc>
          <w:tcPr>
            <w:tcW w:w="9355" w:type="dxa"/>
            <w:gridSpan w:val="5"/>
            <w:tcBorders>
              <w:top w:val="single" w:color="auto" w:sz="4" w:space="0"/>
            </w:tcBorders>
            <w:vAlign w:val="center"/>
          </w:tcPr>
          <w:p>
            <w:pPr>
              <w:rPr>
                <w:color w:val="auto"/>
                <w:highlight w:val="none"/>
              </w:rPr>
            </w:pPr>
            <w:r>
              <w:rPr>
                <w:rFonts w:hint="default"/>
                <w:color w:val="auto"/>
                <w:highlight w:val="none"/>
                <w:lang w:eastAsia="zh-CN"/>
              </w:rPr>
              <w:t>本项目在现有</w:t>
            </w:r>
            <w:r>
              <w:rPr>
                <w:rFonts w:hint="eastAsia"/>
                <w:color w:val="auto"/>
                <w:highlight w:val="none"/>
                <w:lang w:eastAsia="zh-CN"/>
              </w:rPr>
              <w:t>厂区生产车间内</w:t>
            </w:r>
            <w:r>
              <w:rPr>
                <w:rFonts w:hint="default"/>
                <w:color w:val="auto"/>
                <w:highlight w:val="none"/>
                <w:lang w:eastAsia="zh-CN"/>
              </w:rPr>
              <w:t>进行改造，</w:t>
            </w:r>
            <w:r>
              <w:rPr>
                <w:rFonts w:hint="default"/>
                <w:color w:val="auto"/>
                <w:highlight w:val="none"/>
              </w:rPr>
              <w:t>项目不设取土场，弃土场</w:t>
            </w:r>
            <w:r>
              <w:rPr>
                <w:rFonts w:hint="default"/>
                <w:color w:val="auto"/>
                <w:highlight w:val="none"/>
                <w:lang w:eastAsia="zh-CN"/>
              </w:rPr>
              <w:t>。不会对生态环境产生影响。</w:t>
            </w:r>
          </w:p>
        </w:tc>
      </w:tr>
    </w:tbl>
    <w:p>
      <w:pPr>
        <w:pStyle w:val="2"/>
        <w:rPr>
          <w:color w:val="auto"/>
          <w:highlight w:val="none"/>
        </w:rPr>
      </w:pPr>
    </w:p>
    <w:tbl>
      <w:tblPr>
        <w:tblStyle w:val="31"/>
        <w:tblW w:w="935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85" w:type="dxa"/>
          <w:bottom w:w="0" w:type="dxa"/>
          <w:right w:w="85" w:type="dxa"/>
        </w:tblCellMar>
      </w:tblPr>
      <w:tblGrid>
        <w:gridCol w:w="9299"/>
        <w:gridCol w:w="5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trHeight w:val="11716" w:hRule="atLeast"/>
          <w:jc w:val="center"/>
        </w:trPr>
        <w:tc>
          <w:tcPr>
            <w:tcW w:w="9355" w:type="dxa"/>
            <w:gridSpan w:val="2"/>
            <w:vAlign w:val="center"/>
          </w:tcPr>
          <w:p>
            <w:pPr>
              <w:pStyle w:val="30"/>
              <w:spacing w:line="420" w:lineRule="exact"/>
              <w:ind w:left="0" w:leftChars="0" w:firstLine="482"/>
              <w:rPr>
                <w:b/>
                <w:color w:val="auto"/>
                <w:sz w:val="24"/>
                <w:highlight w:val="none"/>
              </w:rPr>
            </w:pPr>
            <w:r>
              <w:rPr>
                <w:rFonts w:hint="eastAsia"/>
                <w:b/>
                <w:color w:val="auto"/>
                <w:sz w:val="24"/>
                <w:highlight w:val="none"/>
              </w:rPr>
              <w:t>（14）</w:t>
            </w:r>
            <w:r>
              <w:rPr>
                <w:b/>
                <w:color w:val="auto"/>
                <w:sz w:val="24"/>
                <w:highlight w:val="none"/>
              </w:rPr>
              <w:t>“三同时”验收一览表</w:t>
            </w:r>
          </w:p>
          <w:p>
            <w:pPr>
              <w:spacing w:line="420" w:lineRule="exact"/>
              <w:ind w:firstLine="480" w:firstLineChars="200"/>
              <w:jc w:val="left"/>
              <w:rPr>
                <w:color w:val="auto"/>
                <w:sz w:val="24"/>
                <w:highlight w:val="none"/>
              </w:rPr>
            </w:pPr>
            <w:r>
              <w:rPr>
                <w:color w:val="auto"/>
                <w:sz w:val="24"/>
                <w:highlight w:val="none"/>
              </w:rPr>
              <w:t>根据建设项目环境管理办法，环境污染物防治设施必须与主体工程同时设计、同时施工、同时投入使用。在工程完成后，应对环境保护设施进行验收。本项目竣工环境保护验收内容见表</w:t>
            </w:r>
            <w:r>
              <w:rPr>
                <w:rFonts w:hint="eastAsia"/>
                <w:color w:val="auto"/>
                <w:sz w:val="24"/>
                <w:highlight w:val="none"/>
                <w:lang w:val="en-US" w:eastAsia="zh-CN"/>
              </w:rPr>
              <w:t>47</w:t>
            </w:r>
            <w:r>
              <w:rPr>
                <w:color w:val="auto"/>
                <w:sz w:val="24"/>
                <w:highlight w:val="none"/>
              </w:rPr>
              <w:t>。</w:t>
            </w:r>
          </w:p>
          <w:p>
            <w:pPr>
              <w:spacing w:line="440" w:lineRule="atLeast"/>
              <w:jc w:val="center"/>
              <w:rPr>
                <w:b/>
                <w:bCs/>
                <w:color w:val="auto"/>
                <w:sz w:val="24"/>
                <w:highlight w:val="none"/>
              </w:rPr>
            </w:pPr>
            <w:r>
              <w:rPr>
                <w:b/>
                <w:bCs/>
                <w:color w:val="auto"/>
                <w:sz w:val="24"/>
                <w:highlight w:val="none"/>
              </w:rPr>
              <w:t>表</w:t>
            </w:r>
            <w:r>
              <w:rPr>
                <w:rFonts w:hint="eastAsia"/>
                <w:b/>
                <w:bCs/>
                <w:color w:val="auto"/>
                <w:sz w:val="24"/>
                <w:highlight w:val="none"/>
                <w:lang w:val="en-US" w:eastAsia="zh-CN"/>
              </w:rPr>
              <w:t>47</w:t>
            </w:r>
            <w:r>
              <w:rPr>
                <w:b/>
                <w:bCs/>
                <w:color w:val="auto"/>
                <w:sz w:val="24"/>
                <w:highlight w:val="none"/>
              </w:rPr>
              <w:t xml:space="preserve">   环境保护设施竣工“三同时”验收一览表</w:t>
            </w:r>
          </w:p>
          <w:tbl>
            <w:tblPr>
              <w:tblStyle w:val="31"/>
              <w:tblW w:w="91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11"/>
              <w:gridCol w:w="977"/>
              <w:gridCol w:w="1092"/>
              <w:gridCol w:w="2273"/>
              <w:gridCol w:w="430"/>
              <w:gridCol w:w="1210"/>
              <w:gridCol w:w="276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11" w:type="dxa"/>
                  <w:vAlign w:val="center"/>
                </w:tcPr>
                <w:p>
                  <w:pPr>
                    <w:adjustRightInd w:val="0"/>
                    <w:snapToGrid w:val="0"/>
                    <w:spacing w:line="0" w:lineRule="atLeast"/>
                    <w:jc w:val="center"/>
                    <w:rPr>
                      <w:b/>
                      <w:color w:val="auto"/>
                      <w:sz w:val="21"/>
                      <w:szCs w:val="21"/>
                      <w:highlight w:val="none"/>
                    </w:rPr>
                  </w:pPr>
                  <w:r>
                    <w:rPr>
                      <w:b/>
                      <w:color w:val="auto"/>
                      <w:sz w:val="21"/>
                      <w:szCs w:val="21"/>
                      <w:highlight w:val="none"/>
                    </w:rPr>
                    <w:t>类别</w:t>
                  </w:r>
                </w:p>
              </w:tc>
              <w:tc>
                <w:tcPr>
                  <w:tcW w:w="977" w:type="dxa"/>
                  <w:vAlign w:val="center"/>
                </w:tcPr>
                <w:p>
                  <w:pPr>
                    <w:adjustRightInd w:val="0"/>
                    <w:snapToGrid w:val="0"/>
                    <w:spacing w:line="0" w:lineRule="atLeast"/>
                    <w:jc w:val="center"/>
                    <w:rPr>
                      <w:b/>
                      <w:color w:val="auto"/>
                      <w:sz w:val="21"/>
                      <w:szCs w:val="21"/>
                      <w:highlight w:val="none"/>
                    </w:rPr>
                  </w:pPr>
                  <w:r>
                    <w:rPr>
                      <w:b/>
                      <w:color w:val="auto"/>
                      <w:sz w:val="21"/>
                      <w:szCs w:val="21"/>
                      <w:highlight w:val="none"/>
                    </w:rPr>
                    <w:t>污染源</w:t>
                  </w:r>
                </w:p>
              </w:tc>
              <w:tc>
                <w:tcPr>
                  <w:tcW w:w="1092" w:type="dxa"/>
                  <w:vAlign w:val="center"/>
                </w:tcPr>
                <w:p>
                  <w:pPr>
                    <w:adjustRightInd w:val="0"/>
                    <w:snapToGrid w:val="0"/>
                    <w:spacing w:line="0" w:lineRule="atLeast"/>
                    <w:jc w:val="center"/>
                    <w:rPr>
                      <w:b/>
                      <w:color w:val="auto"/>
                      <w:sz w:val="21"/>
                      <w:szCs w:val="21"/>
                      <w:highlight w:val="none"/>
                    </w:rPr>
                  </w:pPr>
                  <w:r>
                    <w:rPr>
                      <w:b/>
                      <w:color w:val="auto"/>
                      <w:sz w:val="21"/>
                      <w:szCs w:val="21"/>
                      <w:highlight w:val="none"/>
                    </w:rPr>
                    <w:t>污染物</w:t>
                  </w:r>
                </w:p>
              </w:tc>
              <w:tc>
                <w:tcPr>
                  <w:tcW w:w="2273" w:type="dxa"/>
                  <w:vAlign w:val="center"/>
                </w:tcPr>
                <w:p>
                  <w:pPr>
                    <w:adjustRightInd w:val="0"/>
                    <w:snapToGrid w:val="0"/>
                    <w:spacing w:line="0" w:lineRule="atLeast"/>
                    <w:jc w:val="center"/>
                    <w:rPr>
                      <w:b/>
                      <w:color w:val="auto"/>
                      <w:sz w:val="21"/>
                      <w:szCs w:val="21"/>
                      <w:highlight w:val="none"/>
                    </w:rPr>
                  </w:pPr>
                  <w:r>
                    <w:rPr>
                      <w:b/>
                      <w:color w:val="auto"/>
                      <w:sz w:val="21"/>
                      <w:szCs w:val="21"/>
                      <w:highlight w:val="none"/>
                    </w:rPr>
                    <w:t>治理措施及效率</w:t>
                  </w:r>
                </w:p>
              </w:tc>
              <w:tc>
                <w:tcPr>
                  <w:tcW w:w="430" w:type="dxa"/>
                  <w:vAlign w:val="center"/>
                </w:tcPr>
                <w:p>
                  <w:pPr>
                    <w:adjustRightInd w:val="0"/>
                    <w:snapToGrid w:val="0"/>
                    <w:spacing w:line="0" w:lineRule="atLeast"/>
                    <w:jc w:val="center"/>
                    <w:rPr>
                      <w:b/>
                      <w:color w:val="auto"/>
                      <w:sz w:val="21"/>
                      <w:szCs w:val="21"/>
                      <w:highlight w:val="none"/>
                    </w:rPr>
                  </w:pPr>
                  <w:r>
                    <w:rPr>
                      <w:b/>
                      <w:color w:val="auto"/>
                      <w:sz w:val="21"/>
                      <w:szCs w:val="21"/>
                      <w:highlight w:val="none"/>
                    </w:rPr>
                    <w:t>数量</w:t>
                  </w:r>
                </w:p>
              </w:tc>
              <w:tc>
                <w:tcPr>
                  <w:tcW w:w="1210" w:type="dxa"/>
                  <w:vAlign w:val="center"/>
                </w:tcPr>
                <w:p>
                  <w:pPr>
                    <w:adjustRightInd w:val="0"/>
                    <w:snapToGrid w:val="0"/>
                    <w:spacing w:line="0" w:lineRule="atLeast"/>
                    <w:jc w:val="center"/>
                    <w:rPr>
                      <w:color w:val="auto"/>
                      <w:sz w:val="21"/>
                      <w:szCs w:val="21"/>
                      <w:highlight w:val="none"/>
                    </w:rPr>
                  </w:pPr>
                  <w:r>
                    <w:rPr>
                      <w:rFonts w:hint="eastAsia"/>
                      <w:b/>
                      <w:color w:val="auto"/>
                      <w:sz w:val="21"/>
                      <w:szCs w:val="21"/>
                      <w:highlight w:val="none"/>
                    </w:rPr>
                    <w:t>效果及要求</w:t>
                  </w:r>
                </w:p>
              </w:tc>
              <w:tc>
                <w:tcPr>
                  <w:tcW w:w="2762" w:type="dxa"/>
                  <w:vAlign w:val="center"/>
                </w:tcPr>
                <w:p>
                  <w:pPr>
                    <w:adjustRightInd w:val="0"/>
                    <w:snapToGrid w:val="0"/>
                    <w:spacing w:line="0" w:lineRule="atLeast"/>
                    <w:jc w:val="center"/>
                    <w:rPr>
                      <w:b/>
                      <w:color w:val="auto"/>
                      <w:sz w:val="21"/>
                      <w:szCs w:val="21"/>
                      <w:highlight w:val="none"/>
                    </w:rPr>
                  </w:pPr>
                  <w:r>
                    <w:rPr>
                      <w:b/>
                      <w:color w:val="auto"/>
                      <w:sz w:val="21"/>
                      <w:szCs w:val="21"/>
                      <w:highlight w:val="none"/>
                    </w:rPr>
                    <w:t>验收标准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4" w:hRule="atLeast"/>
                <w:jc w:val="center"/>
              </w:trPr>
              <w:tc>
                <w:tcPr>
                  <w:tcW w:w="411" w:type="dxa"/>
                  <w:vMerge w:val="restart"/>
                  <w:vAlign w:val="center"/>
                </w:tcPr>
                <w:p>
                  <w:pPr>
                    <w:adjustRightInd w:val="0"/>
                    <w:snapToGrid w:val="0"/>
                    <w:spacing w:line="0" w:lineRule="atLeast"/>
                    <w:jc w:val="center"/>
                    <w:rPr>
                      <w:color w:val="auto"/>
                      <w:sz w:val="21"/>
                      <w:szCs w:val="21"/>
                      <w:highlight w:val="none"/>
                    </w:rPr>
                  </w:pPr>
                  <w:r>
                    <w:rPr>
                      <w:color w:val="auto"/>
                      <w:sz w:val="21"/>
                      <w:szCs w:val="21"/>
                      <w:highlight w:val="none"/>
                    </w:rPr>
                    <w:t>废气</w:t>
                  </w:r>
                </w:p>
              </w:tc>
              <w:tc>
                <w:tcPr>
                  <w:tcW w:w="977" w:type="dxa"/>
                  <w:vAlign w:val="center"/>
                </w:tcPr>
                <w:p>
                  <w:pPr>
                    <w:tabs>
                      <w:tab w:val="left" w:pos="2604"/>
                    </w:tabs>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数控火焰切割机</w:t>
                  </w:r>
                </w:p>
              </w:tc>
              <w:tc>
                <w:tcPr>
                  <w:tcW w:w="1092" w:type="dxa"/>
                  <w:vAlign w:val="center"/>
                </w:tcPr>
                <w:p>
                  <w:pPr>
                    <w:tabs>
                      <w:tab w:val="left" w:pos="2604"/>
                    </w:tabs>
                    <w:jc w:val="center"/>
                    <w:rPr>
                      <w:color w:val="auto"/>
                      <w:sz w:val="21"/>
                      <w:szCs w:val="21"/>
                      <w:highlight w:val="none"/>
                    </w:rPr>
                  </w:pPr>
                  <w:r>
                    <w:rPr>
                      <w:color w:val="auto"/>
                      <w:sz w:val="21"/>
                      <w:szCs w:val="21"/>
                      <w:highlight w:val="none"/>
                    </w:rPr>
                    <w:t>颗粒物</w:t>
                  </w:r>
                </w:p>
              </w:tc>
              <w:tc>
                <w:tcPr>
                  <w:tcW w:w="2273" w:type="dxa"/>
                  <w:vAlign w:val="center"/>
                </w:tcPr>
                <w:p>
                  <w:pPr>
                    <w:widowControl/>
                    <w:tabs>
                      <w:tab w:val="left" w:pos="2951"/>
                    </w:tabs>
                    <w:jc w:val="center"/>
                    <w:rPr>
                      <w:rFonts w:hint="default" w:eastAsia="宋体"/>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在操作平台两侧分别设置3个吸风口（φ0.3m）</w:t>
                  </w:r>
                  <w:r>
                    <w:rPr>
                      <w:rFonts w:hint="eastAsia" w:ascii="Times New Roman" w:hAnsi="Times New Roman" w:cs="Times New Roman"/>
                      <w:color w:val="auto"/>
                      <w:sz w:val="21"/>
                      <w:szCs w:val="21"/>
                      <w:highlight w:val="none"/>
                      <w:lang w:eastAsia="zh-CN"/>
                    </w:rPr>
                    <w:t>；</w:t>
                  </w:r>
                  <w:r>
                    <w:rPr>
                      <w:rFonts w:hint="eastAsia" w:cs="Times New Roman"/>
                      <w:color w:val="auto"/>
                      <w:sz w:val="21"/>
                      <w:szCs w:val="21"/>
                      <w:highlight w:val="none"/>
                      <w:lang w:val="en-US" w:eastAsia="zh-CN"/>
                    </w:rPr>
                    <w:t>脉冲</w:t>
                  </w:r>
                  <w:r>
                    <w:rPr>
                      <w:rFonts w:hint="default" w:ascii="Times New Roman" w:hAnsi="Times New Roman" w:cs="Times New Roman"/>
                      <w:color w:val="auto"/>
                      <w:sz w:val="21"/>
                      <w:szCs w:val="21"/>
                      <w:highlight w:val="none"/>
                      <w:lang w:eastAsia="zh-CN"/>
                    </w:rPr>
                    <w:t>布袋除尘器</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1根15m高</w:t>
                  </w:r>
                  <w:r>
                    <w:rPr>
                      <w:rFonts w:hint="default" w:ascii="Times New Roman" w:hAnsi="Times New Roman" w:cs="Times New Roman"/>
                      <w:color w:val="auto"/>
                      <w:sz w:val="21"/>
                      <w:szCs w:val="21"/>
                      <w:highlight w:val="none"/>
                      <w:lang w:val="en-US" w:eastAsia="zh-CN"/>
                    </w:rPr>
                    <w:t>排气筒</w:t>
                  </w:r>
                  <w:r>
                    <w:rPr>
                      <w:rFonts w:hint="eastAsia" w:ascii="Times New Roman" w:hAnsi="Times New Roman" w:cs="Times New Roman"/>
                      <w:color w:val="auto"/>
                      <w:sz w:val="21"/>
                      <w:szCs w:val="21"/>
                      <w:highlight w:val="none"/>
                      <w:lang w:val="en-US" w:eastAsia="zh-CN"/>
                    </w:rPr>
                    <w:t>（4000m</w:t>
                  </w:r>
                  <w:r>
                    <w:rPr>
                      <w:rFonts w:hint="eastAsia" w:ascii="Times New Roman" w:hAnsi="Times New Roman" w:cs="Times New Roman"/>
                      <w:color w:val="auto"/>
                      <w:sz w:val="21"/>
                      <w:szCs w:val="21"/>
                      <w:highlight w:val="none"/>
                      <w:vertAlign w:val="superscript"/>
                      <w:lang w:val="en-US" w:eastAsia="zh-CN"/>
                    </w:rPr>
                    <w:t>3</w:t>
                  </w:r>
                  <w:r>
                    <w:rPr>
                      <w:rFonts w:hint="eastAsia" w:ascii="Times New Roman" w:hAnsi="Times New Roman" w:cs="Times New Roman"/>
                      <w:color w:val="auto"/>
                      <w:sz w:val="21"/>
                      <w:szCs w:val="21"/>
                      <w:highlight w:val="none"/>
                      <w:lang w:val="en-US" w:eastAsia="zh-CN"/>
                    </w:rPr>
                    <w:t>/h）</w:t>
                  </w:r>
                </w:p>
              </w:tc>
              <w:tc>
                <w:tcPr>
                  <w:tcW w:w="430" w:type="dxa"/>
                  <w:vAlign w:val="center"/>
                </w:tcPr>
                <w:p>
                  <w:pPr>
                    <w:spacing w:line="320" w:lineRule="exact"/>
                    <w:jc w:val="center"/>
                    <w:rPr>
                      <w:rFonts w:hint="eastAsia" w:eastAsia="宋体"/>
                      <w:color w:val="auto"/>
                      <w:sz w:val="21"/>
                      <w:szCs w:val="21"/>
                      <w:highlight w:val="none"/>
                      <w:lang w:eastAsia="zh-CN"/>
                    </w:rPr>
                  </w:pPr>
                  <w:r>
                    <w:rPr>
                      <w:rFonts w:hint="eastAsia"/>
                      <w:color w:val="auto"/>
                      <w:sz w:val="21"/>
                      <w:szCs w:val="21"/>
                      <w:highlight w:val="none"/>
                      <w:lang w:val="en-US" w:eastAsia="zh-CN"/>
                    </w:rPr>
                    <w:t>1</w:t>
                  </w:r>
                </w:p>
              </w:tc>
              <w:tc>
                <w:tcPr>
                  <w:tcW w:w="1210" w:type="dxa"/>
                  <w:vAlign w:val="center"/>
                </w:tcPr>
                <w:p>
                  <w:pPr>
                    <w:adjustRightInd w:val="0"/>
                    <w:snapToGrid w:val="0"/>
                    <w:spacing w:line="0" w:lineRule="atLeast"/>
                    <w:jc w:val="center"/>
                    <w:rPr>
                      <w:color w:val="auto"/>
                      <w:sz w:val="21"/>
                      <w:szCs w:val="21"/>
                      <w:highlight w:val="none"/>
                    </w:rPr>
                  </w:pPr>
                  <w:r>
                    <w:rPr>
                      <w:b/>
                      <w:color w:val="auto"/>
                      <w:sz w:val="21"/>
                      <w:szCs w:val="21"/>
                      <w:highlight w:val="none"/>
                    </w:rPr>
                    <w:t xml:space="preserve">≤ </w:t>
                  </w:r>
                  <w:r>
                    <w:rPr>
                      <w:rFonts w:hint="eastAsia"/>
                      <w:color w:val="auto"/>
                      <w:sz w:val="21"/>
                      <w:szCs w:val="21"/>
                      <w:highlight w:val="none"/>
                    </w:rPr>
                    <w:t>1</w:t>
                  </w:r>
                  <w:r>
                    <w:rPr>
                      <w:rFonts w:hint="eastAsia"/>
                      <w:color w:val="auto"/>
                      <w:sz w:val="21"/>
                      <w:szCs w:val="21"/>
                      <w:highlight w:val="none"/>
                      <w:lang w:val="en-US" w:eastAsia="zh-CN"/>
                    </w:rPr>
                    <w:t>0</w:t>
                  </w:r>
                  <w:r>
                    <w:rPr>
                      <w:rFonts w:hint="eastAsia"/>
                      <w:color w:val="auto"/>
                      <w:sz w:val="21"/>
                      <w:szCs w:val="21"/>
                      <w:highlight w:val="none"/>
                    </w:rPr>
                    <w:t>mg/m</w:t>
                  </w:r>
                  <w:r>
                    <w:rPr>
                      <w:rFonts w:hint="eastAsia"/>
                      <w:color w:val="auto"/>
                      <w:sz w:val="21"/>
                      <w:szCs w:val="21"/>
                      <w:highlight w:val="none"/>
                      <w:vertAlign w:val="superscript"/>
                    </w:rPr>
                    <w:t>3</w:t>
                  </w:r>
                </w:p>
              </w:tc>
              <w:tc>
                <w:tcPr>
                  <w:tcW w:w="2762" w:type="dxa"/>
                  <w:vMerge w:val="restart"/>
                  <w:vAlign w:val="center"/>
                </w:tcPr>
                <w:p>
                  <w:pPr>
                    <w:spacing w:line="0" w:lineRule="atLeast"/>
                    <w:ind w:left="57" w:right="57"/>
                    <w:jc w:val="center"/>
                    <w:rPr>
                      <w:snapToGrid w:val="0"/>
                      <w:color w:val="auto"/>
                      <w:kern w:val="0"/>
                      <w:sz w:val="21"/>
                      <w:szCs w:val="21"/>
                      <w:highlight w:val="none"/>
                      <w:lang w:val="zh-CN"/>
                    </w:rPr>
                  </w:pPr>
                  <w:r>
                    <w:rPr>
                      <w:rFonts w:hint="eastAsia" w:ascii="Times New Roman" w:hAnsi="Times New Roman" w:cs="Times New Roman"/>
                      <w:color w:val="auto"/>
                      <w:sz w:val="21"/>
                      <w:szCs w:val="21"/>
                      <w:highlight w:val="none"/>
                      <w:lang w:eastAsia="zh-CN"/>
                    </w:rPr>
                    <w:t>参照</w:t>
                  </w:r>
                  <w:r>
                    <w:rPr>
                      <w:rFonts w:hint="default" w:ascii="Times New Roman" w:hAnsi="Times New Roman" w:cs="Times New Roman"/>
                      <w:color w:val="auto"/>
                      <w:sz w:val="21"/>
                      <w:szCs w:val="21"/>
                      <w:highlight w:val="none"/>
                    </w:rPr>
                    <w:t>执行《钢铁工业大气污染物超低排放标准》(DB13/2169-2018)中表1轧钢工序（热处理炉、拉矫、精整、抛丸、修磨、焊接机及其他生产设施）颗粒物排放限值要求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9" w:hRule="atLeast"/>
                <w:jc w:val="center"/>
              </w:trPr>
              <w:tc>
                <w:tcPr>
                  <w:tcW w:w="411" w:type="dxa"/>
                  <w:vMerge w:val="continue"/>
                  <w:vAlign w:val="center"/>
                </w:tcPr>
                <w:p>
                  <w:pPr>
                    <w:adjustRightInd w:val="0"/>
                    <w:snapToGrid w:val="0"/>
                    <w:spacing w:line="0" w:lineRule="atLeast"/>
                    <w:jc w:val="center"/>
                    <w:rPr>
                      <w:color w:val="auto"/>
                      <w:sz w:val="21"/>
                      <w:szCs w:val="21"/>
                      <w:highlight w:val="none"/>
                    </w:rPr>
                  </w:pPr>
                </w:p>
              </w:tc>
              <w:tc>
                <w:tcPr>
                  <w:tcW w:w="977" w:type="dxa"/>
                  <w:vAlign w:val="center"/>
                </w:tcPr>
                <w:p>
                  <w:pPr>
                    <w:tabs>
                      <w:tab w:val="left" w:pos="2604"/>
                    </w:tabs>
                    <w:spacing w:line="0" w:lineRule="atLeast"/>
                    <w:jc w:val="center"/>
                    <w:rPr>
                      <w:rFonts w:hint="eastAsia"/>
                      <w:color w:val="auto"/>
                      <w:szCs w:val="21"/>
                      <w:highlight w:val="none"/>
                      <w:lang w:val="en-US" w:eastAsia="zh-CN"/>
                    </w:rPr>
                  </w:pPr>
                  <w:r>
                    <w:rPr>
                      <w:rFonts w:hint="eastAsia"/>
                      <w:color w:val="auto"/>
                      <w:szCs w:val="21"/>
                      <w:highlight w:val="none"/>
                      <w:lang w:val="en-US" w:eastAsia="zh-CN"/>
                    </w:rPr>
                    <w:t>自制抛光机</w:t>
                  </w:r>
                </w:p>
              </w:tc>
              <w:tc>
                <w:tcPr>
                  <w:tcW w:w="1092" w:type="dxa"/>
                  <w:vAlign w:val="center"/>
                </w:tcPr>
                <w:p>
                  <w:pPr>
                    <w:tabs>
                      <w:tab w:val="left" w:pos="2604"/>
                    </w:tabs>
                    <w:jc w:val="center"/>
                    <w:rPr>
                      <w:color w:val="auto"/>
                      <w:sz w:val="21"/>
                      <w:szCs w:val="21"/>
                      <w:highlight w:val="none"/>
                    </w:rPr>
                  </w:pPr>
                  <w:r>
                    <w:rPr>
                      <w:color w:val="auto"/>
                      <w:sz w:val="21"/>
                      <w:szCs w:val="21"/>
                      <w:highlight w:val="none"/>
                    </w:rPr>
                    <w:t>颗粒物</w:t>
                  </w:r>
                </w:p>
              </w:tc>
              <w:tc>
                <w:tcPr>
                  <w:tcW w:w="2273" w:type="dxa"/>
                  <w:vAlign w:val="center"/>
                </w:tcPr>
                <w:p>
                  <w:pPr>
                    <w:widowControl/>
                    <w:tabs>
                      <w:tab w:val="left" w:pos="2951"/>
                    </w:tabs>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三面围挡+脉冲</w:t>
                  </w:r>
                  <w:r>
                    <w:rPr>
                      <w:rFonts w:hint="default" w:ascii="Times New Roman" w:hAnsi="Times New Roman" w:cs="Times New Roman"/>
                      <w:color w:val="auto"/>
                      <w:sz w:val="21"/>
                      <w:szCs w:val="21"/>
                      <w:highlight w:val="none"/>
                      <w:lang w:eastAsia="zh-CN"/>
                    </w:rPr>
                    <w:t>布袋除尘器</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1根15m高</w:t>
                  </w:r>
                  <w:r>
                    <w:rPr>
                      <w:rFonts w:hint="default" w:ascii="Times New Roman" w:hAnsi="Times New Roman" w:cs="Times New Roman"/>
                      <w:color w:val="auto"/>
                      <w:sz w:val="21"/>
                      <w:szCs w:val="21"/>
                      <w:highlight w:val="none"/>
                      <w:lang w:val="en-US" w:eastAsia="zh-CN"/>
                    </w:rPr>
                    <w:t>排气筒</w:t>
                  </w:r>
                  <w:r>
                    <w:rPr>
                      <w:rFonts w:hint="eastAsia"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3</w:t>
                  </w:r>
                  <w:r>
                    <w:rPr>
                      <w:rFonts w:hint="eastAsia" w:ascii="Times New Roman" w:hAnsi="Times New Roman" w:cs="Times New Roman"/>
                      <w:color w:val="auto"/>
                      <w:sz w:val="21"/>
                      <w:szCs w:val="21"/>
                      <w:highlight w:val="none"/>
                      <w:lang w:val="en-US" w:eastAsia="zh-CN"/>
                    </w:rPr>
                    <w:t>000m</w:t>
                  </w:r>
                  <w:r>
                    <w:rPr>
                      <w:rFonts w:hint="eastAsia" w:ascii="Times New Roman" w:hAnsi="Times New Roman" w:cs="Times New Roman"/>
                      <w:color w:val="auto"/>
                      <w:sz w:val="21"/>
                      <w:szCs w:val="21"/>
                      <w:highlight w:val="none"/>
                      <w:vertAlign w:val="superscript"/>
                      <w:lang w:val="en-US" w:eastAsia="zh-CN"/>
                    </w:rPr>
                    <w:t>3</w:t>
                  </w:r>
                  <w:r>
                    <w:rPr>
                      <w:rFonts w:hint="eastAsia" w:ascii="Times New Roman" w:hAnsi="Times New Roman" w:cs="Times New Roman"/>
                      <w:color w:val="auto"/>
                      <w:sz w:val="21"/>
                      <w:szCs w:val="21"/>
                      <w:highlight w:val="none"/>
                      <w:lang w:val="en-US" w:eastAsia="zh-CN"/>
                    </w:rPr>
                    <w:t>/h）</w:t>
                  </w:r>
                </w:p>
              </w:tc>
              <w:tc>
                <w:tcPr>
                  <w:tcW w:w="430" w:type="dxa"/>
                  <w:vAlign w:val="center"/>
                </w:tcPr>
                <w:p>
                  <w:pPr>
                    <w:spacing w:line="320" w:lineRule="exact"/>
                    <w:jc w:val="center"/>
                    <w:rPr>
                      <w:rFonts w:hint="eastAsia"/>
                      <w:color w:val="auto"/>
                      <w:sz w:val="21"/>
                      <w:szCs w:val="21"/>
                      <w:highlight w:val="none"/>
                      <w:lang w:val="en-US" w:eastAsia="zh-CN"/>
                    </w:rPr>
                  </w:pPr>
                  <w:r>
                    <w:rPr>
                      <w:rFonts w:hint="eastAsia"/>
                      <w:color w:val="auto"/>
                      <w:sz w:val="21"/>
                      <w:szCs w:val="21"/>
                      <w:highlight w:val="none"/>
                      <w:lang w:val="en-US" w:eastAsia="zh-CN"/>
                    </w:rPr>
                    <w:t>1</w:t>
                  </w:r>
                </w:p>
              </w:tc>
              <w:tc>
                <w:tcPr>
                  <w:tcW w:w="1210" w:type="dxa"/>
                  <w:vAlign w:val="center"/>
                </w:tcPr>
                <w:p>
                  <w:pPr>
                    <w:adjustRightInd w:val="0"/>
                    <w:snapToGrid w:val="0"/>
                    <w:spacing w:line="0" w:lineRule="atLeast"/>
                    <w:jc w:val="center"/>
                    <w:rPr>
                      <w:b/>
                      <w:color w:val="auto"/>
                      <w:sz w:val="21"/>
                      <w:szCs w:val="21"/>
                      <w:highlight w:val="none"/>
                    </w:rPr>
                  </w:pPr>
                  <w:r>
                    <w:rPr>
                      <w:b/>
                      <w:color w:val="auto"/>
                      <w:sz w:val="21"/>
                      <w:szCs w:val="21"/>
                      <w:highlight w:val="none"/>
                    </w:rPr>
                    <w:t xml:space="preserve">≤ </w:t>
                  </w:r>
                  <w:r>
                    <w:rPr>
                      <w:rFonts w:hint="eastAsia"/>
                      <w:color w:val="auto"/>
                      <w:sz w:val="21"/>
                      <w:szCs w:val="21"/>
                      <w:highlight w:val="none"/>
                    </w:rPr>
                    <w:t>1</w:t>
                  </w:r>
                  <w:r>
                    <w:rPr>
                      <w:rFonts w:hint="eastAsia"/>
                      <w:color w:val="auto"/>
                      <w:sz w:val="21"/>
                      <w:szCs w:val="21"/>
                      <w:highlight w:val="none"/>
                      <w:lang w:val="en-US" w:eastAsia="zh-CN"/>
                    </w:rPr>
                    <w:t>0</w:t>
                  </w:r>
                  <w:r>
                    <w:rPr>
                      <w:rFonts w:hint="eastAsia"/>
                      <w:color w:val="auto"/>
                      <w:sz w:val="21"/>
                      <w:szCs w:val="21"/>
                      <w:highlight w:val="none"/>
                    </w:rPr>
                    <w:t>mg/m</w:t>
                  </w:r>
                  <w:r>
                    <w:rPr>
                      <w:rFonts w:hint="eastAsia"/>
                      <w:color w:val="auto"/>
                      <w:sz w:val="21"/>
                      <w:szCs w:val="21"/>
                      <w:highlight w:val="none"/>
                      <w:vertAlign w:val="superscript"/>
                    </w:rPr>
                    <w:t>3</w:t>
                  </w:r>
                </w:p>
              </w:tc>
              <w:tc>
                <w:tcPr>
                  <w:tcW w:w="2762" w:type="dxa"/>
                  <w:vMerge w:val="continue"/>
                  <w:vAlign w:val="center"/>
                </w:tcPr>
                <w:p>
                  <w:pPr>
                    <w:spacing w:line="0" w:lineRule="atLeast"/>
                    <w:ind w:left="57" w:right="57"/>
                    <w:jc w:val="center"/>
                    <w:rPr>
                      <w:rFonts w:hint="eastAsia" w:ascii="Times New Roman" w:hAnsi="Times New Roman" w:cs="Times New Roman"/>
                      <w:color w:val="auto"/>
                      <w:sz w:val="21"/>
                      <w:szCs w:val="21"/>
                      <w:highlight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5" w:hRule="atLeast"/>
                <w:jc w:val="center"/>
              </w:trPr>
              <w:tc>
                <w:tcPr>
                  <w:tcW w:w="411" w:type="dxa"/>
                  <w:vMerge w:val="continue"/>
                  <w:vAlign w:val="center"/>
                </w:tcPr>
                <w:p>
                  <w:pPr>
                    <w:adjustRightInd w:val="0"/>
                    <w:snapToGrid w:val="0"/>
                    <w:spacing w:line="0" w:lineRule="atLeast"/>
                    <w:jc w:val="center"/>
                    <w:rPr>
                      <w:color w:val="auto"/>
                      <w:sz w:val="21"/>
                      <w:szCs w:val="21"/>
                      <w:highlight w:val="none"/>
                    </w:rPr>
                  </w:pPr>
                </w:p>
              </w:tc>
              <w:tc>
                <w:tcPr>
                  <w:tcW w:w="977" w:type="dxa"/>
                  <w:vAlign w:val="center"/>
                </w:tcPr>
                <w:p>
                  <w:pPr>
                    <w:tabs>
                      <w:tab w:val="left" w:pos="2604"/>
                    </w:tabs>
                    <w:spacing w:line="0" w:lineRule="atLeast"/>
                    <w:jc w:val="center"/>
                    <w:rPr>
                      <w:rFonts w:hint="eastAsia" w:ascii="Times New Roman" w:hAnsi="Times New Roman" w:eastAsia="宋体" w:cs="Times New Roman"/>
                      <w:color w:val="auto"/>
                      <w:sz w:val="21"/>
                      <w:szCs w:val="21"/>
                      <w:highlight w:val="none"/>
                      <w:lang w:eastAsia="zh-CN"/>
                    </w:rPr>
                  </w:pPr>
                  <w:r>
                    <w:rPr>
                      <w:rFonts w:hint="eastAsia"/>
                      <w:color w:val="auto"/>
                      <w:szCs w:val="21"/>
                      <w:highlight w:val="none"/>
                      <w:lang w:val="en-US" w:eastAsia="zh-CN"/>
                    </w:rPr>
                    <w:t>无组织废气</w:t>
                  </w:r>
                </w:p>
              </w:tc>
              <w:tc>
                <w:tcPr>
                  <w:tcW w:w="1092" w:type="dxa"/>
                  <w:vAlign w:val="center"/>
                </w:tcPr>
                <w:p>
                  <w:pPr>
                    <w:tabs>
                      <w:tab w:val="left" w:pos="2604"/>
                    </w:tabs>
                    <w:jc w:val="center"/>
                    <w:rPr>
                      <w:rFonts w:hint="eastAsia"/>
                      <w:color w:val="auto"/>
                      <w:sz w:val="21"/>
                      <w:szCs w:val="21"/>
                      <w:highlight w:val="none"/>
                      <w:lang w:eastAsia="zh-CN"/>
                    </w:rPr>
                  </w:pPr>
                  <w:r>
                    <w:rPr>
                      <w:rFonts w:hint="eastAsia"/>
                      <w:color w:val="auto"/>
                      <w:sz w:val="21"/>
                      <w:szCs w:val="21"/>
                      <w:highlight w:val="none"/>
                      <w:lang w:eastAsia="zh-CN"/>
                    </w:rPr>
                    <w:t>颗粒物</w:t>
                  </w:r>
                </w:p>
              </w:tc>
              <w:tc>
                <w:tcPr>
                  <w:tcW w:w="2273" w:type="dxa"/>
                  <w:vAlign w:val="center"/>
                </w:tcPr>
                <w:p>
                  <w:pPr>
                    <w:widowControl/>
                    <w:tabs>
                      <w:tab w:val="left" w:pos="2951"/>
                    </w:tabs>
                    <w:jc w:val="center"/>
                    <w:rPr>
                      <w:rFonts w:hint="default" w:cs="Times New Roman"/>
                      <w:color w:val="auto"/>
                      <w:sz w:val="21"/>
                      <w:szCs w:val="21"/>
                      <w:highlight w:val="none"/>
                      <w:lang w:val="en-US" w:eastAsia="zh-CN" w:bidi="he-IL"/>
                    </w:rPr>
                  </w:pPr>
                  <w:r>
                    <w:rPr>
                      <w:rFonts w:hint="eastAsia" w:cs="Times New Roman"/>
                      <w:color w:val="auto"/>
                      <w:sz w:val="21"/>
                      <w:szCs w:val="21"/>
                      <w:highlight w:val="none"/>
                      <w:lang w:val="en-US" w:eastAsia="zh-CN" w:bidi="he-IL"/>
                    </w:rPr>
                    <w:t>封闭车间</w:t>
                  </w:r>
                </w:p>
              </w:tc>
              <w:tc>
                <w:tcPr>
                  <w:tcW w:w="430" w:type="dxa"/>
                  <w:vAlign w:val="center"/>
                </w:tcPr>
                <w:p>
                  <w:pPr>
                    <w:spacing w:line="320" w:lineRule="exact"/>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1210" w:type="dxa"/>
                  <w:vAlign w:val="center"/>
                </w:tcPr>
                <w:p>
                  <w:pPr>
                    <w:adjustRightInd w:val="0"/>
                    <w:snapToGrid w:val="0"/>
                    <w:spacing w:line="0" w:lineRule="atLeast"/>
                    <w:jc w:val="center"/>
                    <w:rPr>
                      <w:rFonts w:hint="eastAsia" w:eastAsia="宋体"/>
                      <w:b/>
                      <w:color w:val="auto"/>
                      <w:sz w:val="21"/>
                      <w:szCs w:val="21"/>
                      <w:highlight w:val="none"/>
                      <w:lang w:eastAsia="zh-CN"/>
                    </w:rPr>
                  </w:pPr>
                  <w:r>
                    <w:rPr>
                      <w:rFonts w:hint="eastAsia"/>
                      <w:color w:val="auto"/>
                      <w:sz w:val="21"/>
                      <w:szCs w:val="21"/>
                      <w:highlight w:val="none"/>
                      <w:lang w:eastAsia="zh-CN"/>
                    </w:rPr>
                    <w:t>周界外浓度最高点≤</w:t>
                  </w:r>
                  <w:r>
                    <w:rPr>
                      <w:color w:val="auto"/>
                      <w:sz w:val="21"/>
                      <w:szCs w:val="21"/>
                      <w:highlight w:val="none"/>
                    </w:rPr>
                    <w:t>1.0mg/m</w:t>
                  </w:r>
                  <w:r>
                    <w:rPr>
                      <w:color w:val="auto"/>
                      <w:sz w:val="21"/>
                      <w:szCs w:val="21"/>
                      <w:highlight w:val="none"/>
                      <w:vertAlign w:val="superscript"/>
                    </w:rPr>
                    <w:t>3</w:t>
                  </w:r>
                </w:p>
              </w:tc>
              <w:tc>
                <w:tcPr>
                  <w:tcW w:w="2762" w:type="dxa"/>
                  <w:vAlign w:val="center"/>
                </w:tcPr>
                <w:p>
                  <w:pPr>
                    <w:spacing w:line="0" w:lineRule="atLeast"/>
                    <w:ind w:left="57" w:right="57"/>
                    <w:jc w:val="center"/>
                    <w:rPr>
                      <w:rFonts w:hint="eastAsia"/>
                      <w:color w:val="auto"/>
                      <w:sz w:val="21"/>
                      <w:szCs w:val="21"/>
                      <w:highlight w:val="none"/>
                    </w:rPr>
                  </w:pPr>
                  <w:r>
                    <w:rPr>
                      <w:color w:val="auto"/>
                      <w:sz w:val="21"/>
                      <w:szCs w:val="21"/>
                      <w:highlight w:val="none"/>
                    </w:rPr>
                    <w:t>《大气污染物综合排放标准》（GB16297-1996）</w:t>
                  </w:r>
                  <w:r>
                    <w:rPr>
                      <w:rFonts w:hint="eastAsia"/>
                      <w:color w:val="auto"/>
                      <w:sz w:val="21"/>
                      <w:szCs w:val="21"/>
                      <w:highlight w:val="none"/>
                    </w:rPr>
                    <w:t>表2</w:t>
                  </w:r>
                  <w:r>
                    <w:rPr>
                      <w:color w:val="auto"/>
                      <w:sz w:val="21"/>
                      <w:szCs w:val="21"/>
                      <w:highlight w:val="none"/>
                    </w:rPr>
                    <w:t>无组织排放监控浓度限值</w:t>
                  </w:r>
                  <w:r>
                    <w:rPr>
                      <w:rFonts w:hint="eastAsia"/>
                      <w:color w:val="auto"/>
                      <w:sz w:val="21"/>
                      <w:szCs w:val="21"/>
                      <w:highlight w:val="none"/>
                      <w:lang w:eastAsia="zh-CN"/>
                    </w:rPr>
                    <w:t>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1" w:hRule="atLeast"/>
                <w:jc w:val="center"/>
              </w:trPr>
              <w:tc>
                <w:tcPr>
                  <w:tcW w:w="411" w:type="dxa"/>
                  <w:vAlign w:val="center"/>
                </w:tcPr>
                <w:p>
                  <w:pPr>
                    <w:adjustRightInd w:val="0"/>
                    <w:snapToGrid w:val="0"/>
                    <w:spacing w:line="0" w:lineRule="atLeast"/>
                    <w:jc w:val="center"/>
                    <w:rPr>
                      <w:color w:val="auto"/>
                      <w:sz w:val="21"/>
                      <w:szCs w:val="21"/>
                      <w:highlight w:val="none"/>
                    </w:rPr>
                  </w:pPr>
                  <w:r>
                    <w:rPr>
                      <w:color w:val="auto"/>
                      <w:sz w:val="21"/>
                      <w:szCs w:val="21"/>
                      <w:highlight w:val="none"/>
                    </w:rPr>
                    <w:t>废水</w:t>
                  </w:r>
                </w:p>
              </w:tc>
              <w:tc>
                <w:tcPr>
                  <w:tcW w:w="977" w:type="dxa"/>
                  <w:vAlign w:val="center"/>
                </w:tcPr>
                <w:p>
                  <w:pPr>
                    <w:spacing w:line="320" w:lineRule="exact"/>
                    <w:jc w:val="center"/>
                    <w:rPr>
                      <w:color w:val="auto"/>
                      <w:sz w:val="21"/>
                      <w:szCs w:val="21"/>
                      <w:highlight w:val="none"/>
                    </w:rPr>
                  </w:pPr>
                  <w:r>
                    <w:rPr>
                      <w:bCs/>
                      <w:color w:val="auto"/>
                      <w:sz w:val="21"/>
                      <w:szCs w:val="21"/>
                      <w:highlight w:val="none"/>
                    </w:rPr>
                    <w:t>—</w:t>
                  </w:r>
                </w:p>
              </w:tc>
              <w:tc>
                <w:tcPr>
                  <w:tcW w:w="1092" w:type="dxa"/>
                  <w:vAlign w:val="center"/>
                </w:tcPr>
                <w:p>
                  <w:pPr>
                    <w:spacing w:line="320" w:lineRule="exact"/>
                    <w:jc w:val="center"/>
                    <w:rPr>
                      <w:color w:val="auto"/>
                      <w:sz w:val="21"/>
                      <w:szCs w:val="21"/>
                      <w:highlight w:val="none"/>
                    </w:rPr>
                  </w:pPr>
                  <w:r>
                    <w:rPr>
                      <w:bCs/>
                      <w:color w:val="auto"/>
                      <w:sz w:val="21"/>
                      <w:szCs w:val="21"/>
                      <w:highlight w:val="none"/>
                    </w:rPr>
                    <w:t>—</w:t>
                  </w:r>
                </w:p>
              </w:tc>
              <w:tc>
                <w:tcPr>
                  <w:tcW w:w="2273" w:type="dxa"/>
                  <w:vAlign w:val="center"/>
                </w:tcPr>
                <w:p>
                  <w:pPr>
                    <w:spacing w:line="320" w:lineRule="exact"/>
                    <w:jc w:val="center"/>
                    <w:rPr>
                      <w:color w:val="auto"/>
                      <w:sz w:val="21"/>
                      <w:szCs w:val="21"/>
                      <w:highlight w:val="none"/>
                    </w:rPr>
                  </w:pPr>
                  <w:r>
                    <w:rPr>
                      <w:bCs/>
                      <w:color w:val="auto"/>
                      <w:sz w:val="21"/>
                      <w:szCs w:val="21"/>
                      <w:highlight w:val="none"/>
                    </w:rPr>
                    <w:t>—</w:t>
                  </w:r>
                </w:p>
              </w:tc>
              <w:tc>
                <w:tcPr>
                  <w:tcW w:w="430" w:type="dxa"/>
                  <w:vAlign w:val="center"/>
                </w:tcPr>
                <w:p>
                  <w:pPr>
                    <w:spacing w:line="320" w:lineRule="exact"/>
                    <w:jc w:val="center"/>
                    <w:rPr>
                      <w:color w:val="auto"/>
                      <w:sz w:val="21"/>
                      <w:szCs w:val="21"/>
                      <w:highlight w:val="none"/>
                    </w:rPr>
                  </w:pPr>
                  <w:r>
                    <w:rPr>
                      <w:bCs/>
                      <w:color w:val="auto"/>
                      <w:sz w:val="21"/>
                      <w:szCs w:val="21"/>
                      <w:highlight w:val="none"/>
                    </w:rPr>
                    <w:t>—</w:t>
                  </w:r>
                </w:p>
              </w:tc>
              <w:tc>
                <w:tcPr>
                  <w:tcW w:w="1210" w:type="dxa"/>
                  <w:vAlign w:val="center"/>
                </w:tcPr>
                <w:p>
                  <w:pPr>
                    <w:spacing w:line="320" w:lineRule="exact"/>
                    <w:jc w:val="center"/>
                    <w:rPr>
                      <w:color w:val="auto"/>
                      <w:sz w:val="21"/>
                      <w:szCs w:val="21"/>
                      <w:highlight w:val="none"/>
                    </w:rPr>
                  </w:pPr>
                  <w:r>
                    <w:rPr>
                      <w:bCs/>
                      <w:color w:val="auto"/>
                      <w:sz w:val="21"/>
                      <w:szCs w:val="21"/>
                      <w:highlight w:val="none"/>
                    </w:rPr>
                    <w:t>—</w:t>
                  </w:r>
                </w:p>
              </w:tc>
              <w:tc>
                <w:tcPr>
                  <w:tcW w:w="2762" w:type="dxa"/>
                  <w:vAlign w:val="center"/>
                </w:tcPr>
                <w:p>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bCs/>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11" w:type="dxa"/>
                  <w:vAlign w:val="center"/>
                </w:tcPr>
                <w:p>
                  <w:pPr>
                    <w:pStyle w:val="17"/>
                    <w:adjustRightInd w:val="0"/>
                    <w:snapToGrid w:val="0"/>
                    <w:spacing w:line="0" w:lineRule="atLeast"/>
                    <w:ind w:firstLine="0" w:firstLineChars="0"/>
                    <w:jc w:val="center"/>
                    <w:rPr>
                      <w:bCs/>
                      <w:color w:val="auto"/>
                      <w:sz w:val="21"/>
                      <w:szCs w:val="21"/>
                      <w:highlight w:val="none"/>
                    </w:rPr>
                  </w:pPr>
                  <w:r>
                    <w:rPr>
                      <w:bCs/>
                      <w:color w:val="auto"/>
                      <w:sz w:val="21"/>
                      <w:szCs w:val="21"/>
                      <w:highlight w:val="none"/>
                    </w:rPr>
                    <w:t>噪声</w:t>
                  </w:r>
                </w:p>
              </w:tc>
              <w:tc>
                <w:tcPr>
                  <w:tcW w:w="977" w:type="dxa"/>
                  <w:vAlign w:val="center"/>
                </w:tcPr>
                <w:p>
                  <w:pPr>
                    <w:pStyle w:val="17"/>
                    <w:adjustRightInd w:val="0"/>
                    <w:snapToGrid w:val="0"/>
                    <w:spacing w:line="0" w:lineRule="atLeast"/>
                    <w:ind w:firstLine="0" w:firstLineChars="0"/>
                    <w:jc w:val="center"/>
                    <w:rPr>
                      <w:bCs/>
                      <w:color w:val="auto"/>
                      <w:sz w:val="21"/>
                      <w:szCs w:val="21"/>
                      <w:highlight w:val="none"/>
                    </w:rPr>
                  </w:pPr>
                  <w:r>
                    <w:rPr>
                      <w:bCs/>
                      <w:color w:val="auto"/>
                      <w:sz w:val="21"/>
                      <w:szCs w:val="21"/>
                      <w:highlight w:val="none"/>
                    </w:rPr>
                    <w:t>生产设备</w:t>
                  </w:r>
                </w:p>
              </w:tc>
              <w:tc>
                <w:tcPr>
                  <w:tcW w:w="1092" w:type="dxa"/>
                  <w:vAlign w:val="center"/>
                </w:tcPr>
                <w:p>
                  <w:pPr>
                    <w:pStyle w:val="17"/>
                    <w:adjustRightInd w:val="0"/>
                    <w:snapToGrid w:val="0"/>
                    <w:spacing w:line="0" w:lineRule="atLeast"/>
                    <w:ind w:firstLine="0" w:firstLineChars="0"/>
                    <w:jc w:val="center"/>
                    <w:rPr>
                      <w:bCs/>
                      <w:color w:val="auto"/>
                      <w:sz w:val="21"/>
                      <w:szCs w:val="21"/>
                      <w:highlight w:val="none"/>
                    </w:rPr>
                  </w:pPr>
                  <w:r>
                    <w:rPr>
                      <w:bCs/>
                      <w:color w:val="auto"/>
                      <w:sz w:val="21"/>
                      <w:szCs w:val="21"/>
                      <w:highlight w:val="none"/>
                    </w:rPr>
                    <w:t>噪声</w:t>
                  </w:r>
                </w:p>
              </w:tc>
              <w:tc>
                <w:tcPr>
                  <w:tcW w:w="2273" w:type="dxa"/>
                  <w:vAlign w:val="center"/>
                </w:tcPr>
                <w:p>
                  <w:pPr>
                    <w:pStyle w:val="17"/>
                    <w:adjustRightInd w:val="0"/>
                    <w:snapToGrid w:val="0"/>
                    <w:spacing w:line="0" w:lineRule="atLeast"/>
                    <w:ind w:firstLine="0" w:firstLineChars="0"/>
                    <w:jc w:val="center"/>
                    <w:rPr>
                      <w:bCs/>
                      <w:color w:val="auto"/>
                      <w:sz w:val="21"/>
                      <w:szCs w:val="21"/>
                      <w:highlight w:val="none"/>
                    </w:rPr>
                  </w:pPr>
                  <w:r>
                    <w:rPr>
                      <w:color w:val="auto"/>
                      <w:sz w:val="21"/>
                      <w:szCs w:val="21"/>
                      <w:highlight w:val="none"/>
                      <w:lang w:val="zh-CN"/>
                    </w:rPr>
                    <w:t>采取</w:t>
                  </w:r>
                  <w:r>
                    <w:rPr>
                      <w:color w:val="auto"/>
                      <w:sz w:val="21"/>
                      <w:szCs w:val="21"/>
                      <w:highlight w:val="none"/>
                    </w:rPr>
                    <w:t>厂房隔声、基础减振</w:t>
                  </w:r>
                  <w:r>
                    <w:rPr>
                      <w:color w:val="auto"/>
                      <w:sz w:val="21"/>
                      <w:szCs w:val="21"/>
                      <w:highlight w:val="none"/>
                      <w:lang w:val="zh-CN"/>
                    </w:rPr>
                    <w:t>等措施</w:t>
                  </w:r>
                </w:p>
              </w:tc>
              <w:tc>
                <w:tcPr>
                  <w:tcW w:w="430" w:type="dxa"/>
                  <w:vAlign w:val="center"/>
                </w:tcPr>
                <w:p>
                  <w:pPr>
                    <w:pStyle w:val="17"/>
                    <w:adjustRightInd w:val="0"/>
                    <w:snapToGrid w:val="0"/>
                    <w:spacing w:line="0" w:lineRule="atLeast"/>
                    <w:ind w:firstLine="0" w:firstLineChars="0"/>
                    <w:jc w:val="center"/>
                    <w:rPr>
                      <w:color w:val="auto"/>
                      <w:sz w:val="21"/>
                      <w:szCs w:val="21"/>
                      <w:highlight w:val="none"/>
                    </w:rPr>
                  </w:pPr>
                  <w:r>
                    <w:rPr>
                      <w:bCs/>
                      <w:color w:val="auto"/>
                      <w:sz w:val="21"/>
                      <w:szCs w:val="21"/>
                      <w:highlight w:val="none"/>
                    </w:rPr>
                    <w:t>—</w:t>
                  </w:r>
                </w:p>
              </w:tc>
              <w:tc>
                <w:tcPr>
                  <w:tcW w:w="1210" w:type="dxa"/>
                  <w:vAlign w:val="center"/>
                </w:tcPr>
                <w:p>
                  <w:pPr>
                    <w:adjustRightInd w:val="0"/>
                    <w:snapToGrid w:val="0"/>
                    <w:spacing w:line="0" w:lineRule="atLeast"/>
                    <w:jc w:val="center"/>
                    <w:rPr>
                      <w:color w:val="auto"/>
                      <w:sz w:val="21"/>
                      <w:szCs w:val="21"/>
                      <w:highlight w:val="none"/>
                    </w:rPr>
                  </w:pPr>
                  <w:r>
                    <w:rPr>
                      <w:color w:val="auto"/>
                      <w:sz w:val="21"/>
                      <w:szCs w:val="21"/>
                      <w:highlight w:val="none"/>
                    </w:rPr>
                    <w:t>昼间</w:t>
                  </w:r>
                  <w:r>
                    <w:rPr>
                      <w:rFonts w:hint="eastAsia"/>
                      <w:color w:val="auto"/>
                      <w:sz w:val="21"/>
                      <w:szCs w:val="21"/>
                      <w:highlight w:val="none"/>
                    </w:rPr>
                    <w:t>≤</w:t>
                  </w:r>
                  <w:r>
                    <w:rPr>
                      <w:color w:val="auto"/>
                      <w:sz w:val="21"/>
                      <w:szCs w:val="21"/>
                      <w:highlight w:val="none"/>
                    </w:rPr>
                    <w:t>6</w:t>
                  </w:r>
                  <w:r>
                    <w:rPr>
                      <w:rFonts w:hint="eastAsia"/>
                      <w:color w:val="auto"/>
                      <w:sz w:val="21"/>
                      <w:szCs w:val="21"/>
                      <w:highlight w:val="none"/>
                      <w:lang w:val="en-US" w:eastAsia="zh-CN"/>
                    </w:rPr>
                    <w:t>5</w:t>
                  </w:r>
                  <w:r>
                    <w:rPr>
                      <w:color w:val="auto"/>
                      <w:sz w:val="21"/>
                      <w:szCs w:val="21"/>
                      <w:highlight w:val="none"/>
                    </w:rPr>
                    <w:t>dB(A)，夜间</w:t>
                  </w:r>
                  <w:r>
                    <w:rPr>
                      <w:rFonts w:hint="eastAsia"/>
                      <w:color w:val="auto"/>
                      <w:sz w:val="21"/>
                      <w:szCs w:val="21"/>
                      <w:highlight w:val="none"/>
                    </w:rPr>
                    <w:t>≤</w:t>
                  </w:r>
                  <w:r>
                    <w:rPr>
                      <w:color w:val="auto"/>
                      <w:sz w:val="21"/>
                      <w:szCs w:val="21"/>
                      <w:highlight w:val="none"/>
                    </w:rPr>
                    <w:t>5</w:t>
                  </w:r>
                  <w:r>
                    <w:rPr>
                      <w:rFonts w:hint="eastAsia"/>
                      <w:color w:val="auto"/>
                      <w:sz w:val="21"/>
                      <w:szCs w:val="21"/>
                      <w:highlight w:val="none"/>
                      <w:lang w:val="en-US" w:eastAsia="zh-CN"/>
                    </w:rPr>
                    <w:t>5</w:t>
                  </w:r>
                  <w:r>
                    <w:rPr>
                      <w:color w:val="auto"/>
                      <w:sz w:val="21"/>
                      <w:szCs w:val="21"/>
                      <w:highlight w:val="none"/>
                    </w:rPr>
                    <w:t>dB(A)</w:t>
                  </w:r>
                </w:p>
              </w:tc>
              <w:tc>
                <w:tcPr>
                  <w:tcW w:w="2762" w:type="dxa"/>
                  <w:vAlign w:val="center"/>
                </w:tcPr>
                <w:p>
                  <w:pPr>
                    <w:adjustRightInd w:val="0"/>
                    <w:snapToGrid w:val="0"/>
                    <w:spacing w:line="0" w:lineRule="atLeast"/>
                    <w:jc w:val="center"/>
                    <w:rPr>
                      <w:color w:val="auto"/>
                      <w:sz w:val="21"/>
                      <w:szCs w:val="21"/>
                      <w:highlight w:val="none"/>
                    </w:rPr>
                  </w:pPr>
                  <w:r>
                    <w:rPr>
                      <w:color w:val="auto"/>
                      <w:sz w:val="21"/>
                      <w:szCs w:val="21"/>
                      <w:highlight w:val="none"/>
                    </w:rPr>
                    <w:t>《工业企业厂界环境噪声排放标准》GB12348-2008）中</w:t>
                  </w:r>
                  <w:r>
                    <w:rPr>
                      <w:rFonts w:hint="eastAsia"/>
                      <w:color w:val="auto"/>
                      <w:sz w:val="21"/>
                      <w:szCs w:val="21"/>
                      <w:highlight w:val="none"/>
                      <w:lang w:val="en-US" w:eastAsia="zh-CN"/>
                    </w:rPr>
                    <w:t>3</w:t>
                  </w:r>
                  <w:r>
                    <w:rPr>
                      <w:color w:val="auto"/>
                      <w:sz w:val="21"/>
                      <w:szCs w:val="21"/>
                      <w:highlight w:val="none"/>
                    </w:rPr>
                    <w:t>类区标准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2" w:hRule="atLeast"/>
                <w:jc w:val="center"/>
              </w:trPr>
              <w:tc>
                <w:tcPr>
                  <w:tcW w:w="411" w:type="dxa"/>
                  <w:vMerge w:val="restart"/>
                  <w:vAlign w:val="center"/>
                </w:tcPr>
                <w:p>
                  <w:pPr>
                    <w:adjustRightInd w:val="0"/>
                    <w:snapToGrid w:val="0"/>
                    <w:spacing w:line="0" w:lineRule="atLeast"/>
                    <w:jc w:val="center"/>
                    <w:rPr>
                      <w:color w:val="auto"/>
                      <w:sz w:val="21"/>
                      <w:szCs w:val="21"/>
                      <w:highlight w:val="none"/>
                    </w:rPr>
                  </w:pPr>
                  <w:r>
                    <w:rPr>
                      <w:color w:val="auto"/>
                      <w:sz w:val="21"/>
                      <w:szCs w:val="21"/>
                      <w:highlight w:val="none"/>
                    </w:rPr>
                    <w:t>固废</w:t>
                  </w:r>
                </w:p>
              </w:tc>
              <w:tc>
                <w:tcPr>
                  <w:tcW w:w="977"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下料、</w:t>
                  </w:r>
                  <w:r>
                    <w:rPr>
                      <w:rFonts w:hint="eastAsia"/>
                      <w:color w:val="auto"/>
                      <w:szCs w:val="21"/>
                      <w:highlight w:val="none"/>
                      <w:lang w:eastAsia="zh-CN"/>
                    </w:rPr>
                    <w:t>机加工</w:t>
                  </w:r>
                </w:p>
              </w:tc>
              <w:tc>
                <w:tcPr>
                  <w:tcW w:w="109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下脚料</w:t>
                  </w:r>
                </w:p>
              </w:tc>
              <w:tc>
                <w:tcPr>
                  <w:tcW w:w="2273" w:type="dxa"/>
                  <w:vAlign w:val="center"/>
                </w:tcPr>
                <w:p>
                  <w:pPr>
                    <w:spacing w:line="0" w:lineRule="atLeast"/>
                    <w:jc w:val="center"/>
                    <w:rPr>
                      <w:rFonts w:ascii="Times New Roman" w:hAnsi="Times New Roman" w:eastAsia="宋体" w:cs="Times New Roman"/>
                      <w:color w:val="auto"/>
                      <w:spacing w:val="6"/>
                      <w:kern w:val="2"/>
                      <w:sz w:val="21"/>
                      <w:szCs w:val="21"/>
                      <w:highlight w:val="none"/>
                      <w:lang w:val="en-US" w:eastAsia="zh-CN" w:bidi="ar-SA"/>
                    </w:rPr>
                  </w:pPr>
                  <w:r>
                    <w:rPr>
                      <w:color w:val="auto"/>
                      <w:szCs w:val="21"/>
                      <w:highlight w:val="none"/>
                    </w:rPr>
                    <w:t>集中收集后外售</w:t>
                  </w:r>
                </w:p>
              </w:tc>
              <w:tc>
                <w:tcPr>
                  <w:tcW w:w="430" w:type="dxa"/>
                  <w:vAlign w:val="center"/>
                </w:tcPr>
                <w:p>
                  <w:pPr>
                    <w:adjustRightInd w:val="0"/>
                    <w:snapToGrid w:val="0"/>
                    <w:spacing w:line="0" w:lineRule="atLeast"/>
                    <w:jc w:val="center"/>
                    <w:rPr>
                      <w:b/>
                      <w:color w:val="auto"/>
                      <w:sz w:val="21"/>
                      <w:szCs w:val="21"/>
                      <w:highlight w:val="none"/>
                    </w:rPr>
                  </w:pPr>
                  <w:r>
                    <w:rPr>
                      <w:color w:val="auto"/>
                      <w:kern w:val="24"/>
                      <w:sz w:val="21"/>
                      <w:szCs w:val="21"/>
                      <w:highlight w:val="none"/>
                    </w:rPr>
                    <w:t>—</w:t>
                  </w:r>
                </w:p>
              </w:tc>
              <w:tc>
                <w:tcPr>
                  <w:tcW w:w="1210" w:type="dxa"/>
                  <w:vAlign w:val="center"/>
                </w:tcPr>
                <w:p>
                  <w:pPr>
                    <w:adjustRightInd w:val="0"/>
                    <w:snapToGrid w:val="0"/>
                    <w:spacing w:line="0" w:lineRule="atLeast"/>
                    <w:jc w:val="center"/>
                    <w:rPr>
                      <w:color w:val="auto"/>
                      <w:kern w:val="24"/>
                      <w:sz w:val="21"/>
                      <w:szCs w:val="21"/>
                      <w:highlight w:val="none"/>
                    </w:rPr>
                  </w:pPr>
                  <w:r>
                    <w:rPr>
                      <w:color w:val="auto"/>
                      <w:kern w:val="24"/>
                      <w:sz w:val="21"/>
                      <w:szCs w:val="21"/>
                      <w:highlight w:val="none"/>
                    </w:rPr>
                    <w:t>—</w:t>
                  </w:r>
                </w:p>
              </w:tc>
              <w:tc>
                <w:tcPr>
                  <w:tcW w:w="2762" w:type="dxa"/>
                  <w:vMerge w:val="restart"/>
                  <w:vAlign w:val="center"/>
                </w:tcPr>
                <w:p>
                  <w:pPr>
                    <w:adjustRightInd w:val="0"/>
                    <w:snapToGrid w:val="0"/>
                    <w:spacing w:line="0" w:lineRule="atLeast"/>
                    <w:jc w:val="center"/>
                    <w:rPr>
                      <w:color w:val="auto"/>
                      <w:sz w:val="21"/>
                      <w:szCs w:val="21"/>
                      <w:highlight w:val="none"/>
                    </w:rPr>
                  </w:pPr>
                  <w:r>
                    <w:rPr>
                      <w:snapToGrid w:val="0"/>
                      <w:color w:val="auto"/>
                      <w:sz w:val="21"/>
                      <w:szCs w:val="21"/>
                      <w:highlight w:val="none"/>
                    </w:rPr>
                    <w:t>一般固废执行《一般工业固体废弃物贮存、处置场污染控制标准》GB18599-2001）及其修改单（环境保护部公告2013年第36号）中相关要求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11" w:type="dxa"/>
                  <w:vMerge w:val="continue"/>
                  <w:vAlign w:val="center"/>
                </w:tcPr>
                <w:p>
                  <w:pPr>
                    <w:adjustRightInd w:val="0"/>
                    <w:snapToGrid w:val="0"/>
                    <w:spacing w:line="0" w:lineRule="atLeast"/>
                    <w:jc w:val="center"/>
                    <w:rPr>
                      <w:color w:val="auto"/>
                      <w:sz w:val="21"/>
                      <w:szCs w:val="21"/>
                      <w:highlight w:val="none"/>
                    </w:rPr>
                  </w:pPr>
                </w:p>
              </w:tc>
              <w:tc>
                <w:tcPr>
                  <w:tcW w:w="977" w:type="dxa"/>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eastAsia="zh-CN"/>
                    </w:rPr>
                    <w:t>除尘器</w:t>
                  </w:r>
                </w:p>
              </w:tc>
              <w:tc>
                <w:tcPr>
                  <w:tcW w:w="1092" w:type="dxa"/>
                  <w:vAlign w:val="center"/>
                </w:tcPr>
                <w:p>
                  <w:pPr>
                    <w:tabs>
                      <w:tab w:val="left" w:pos="2604"/>
                    </w:tabs>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eastAsia="zh-CN"/>
                    </w:rPr>
                    <w:t>除尘灰</w:t>
                  </w:r>
                </w:p>
              </w:tc>
              <w:tc>
                <w:tcPr>
                  <w:tcW w:w="2273" w:type="dxa"/>
                  <w:vAlign w:val="center"/>
                </w:tcPr>
                <w:p>
                  <w:pPr>
                    <w:spacing w:line="0" w:lineRule="atLeast"/>
                    <w:jc w:val="center"/>
                    <w:rPr>
                      <w:color w:val="auto"/>
                      <w:szCs w:val="21"/>
                      <w:highlight w:val="none"/>
                    </w:rPr>
                  </w:pPr>
                  <w:r>
                    <w:rPr>
                      <w:color w:val="auto"/>
                      <w:szCs w:val="21"/>
                      <w:highlight w:val="none"/>
                    </w:rPr>
                    <w:t>集中收集后外售</w:t>
                  </w:r>
                </w:p>
              </w:tc>
              <w:tc>
                <w:tcPr>
                  <w:tcW w:w="430" w:type="dxa"/>
                  <w:vAlign w:val="center"/>
                </w:tcPr>
                <w:p>
                  <w:pPr>
                    <w:adjustRightInd w:val="0"/>
                    <w:snapToGrid w:val="0"/>
                    <w:spacing w:line="0" w:lineRule="atLeast"/>
                    <w:jc w:val="center"/>
                    <w:rPr>
                      <w:color w:val="auto"/>
                      <w:kern w:val="24"/>
                      <w:sz w:val="21"/>
                      <w:szCs w:val="21"/>
                      <w:highlight w:val="none"/>
                    </w:rPr>
                  </w:pPr>
                  <w:r>
                    <w:rPr>
                      <w:color w:val="auto"/>
                      <w:kern w:val="24"/>
                      <w:sz w:val="21"/>
                      <w:szCs w:val="21"/>
                      <w:highlight w:val="none"/>
                    </w:rPr>
                    <w:t>—</w:t>
                  </w:r>
                </w:p>
              </w:tc>
              <w:tc>
                <w:tcPr>
                  <w:tcW w:w="1210" w:type="dxa"/>
                  <w:vAlign w:val="center"/>
                </w:tcPr>
                <w:p>
                  <w:pPr>
                    <w:adjustRightInd w:val="0"/>
                    <w:snapToGrid w:val="0"/>
                    <w:spacing w:line="0" w:lineRule="atLeast"/>
                    <w:jc w:val="center"/>
                    <w:rPr>
                      <w:color w:val="auto"/>
                      <w:kern w:val="24"/>
                      <w:sz w:val="21"/>
                      <w:szCs w:val="21"/>
                      <w:highlight w:val="none"/>
                    </w:rPr>
                  </w:pPr>
                  <w:r>
                    <w:rPr>
                      <w:color w:val="auto"/>
                      <w:kern w:val="24"/>
                      <w:sz w:val="21"/>
                      <w:szCs w:val="21"/>
                      <w:highlight w:val="none"/>
                    </w:rPr>
                    <w:t>—</w:t>
                  </w:r>
                </w:p>
              </w:tc>
              <w:tc>
                <w:tcPr>
                  <w:tcW w:w="2762" w:type="dxa"/>
                  <w:vMerge w:val="continue"/>
                  <w:vAlign w:val="center"/>
                </w:tcPr>
                <w:p>
                  <w:pPr>
                    <w:adjustRightInd w:val="0"/>
                    <w:snapToGrid w:val="0"/>
                    <w:spacing w:line="0" w:lineRule="atLeast"/>
                    <w:jc w:val="center"/>
                    <w:rPr>
                      <w:snapToGrid w:val="0"/>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411" w:type="dxa"/>
                  <w:vMerge w:val="continue"/>
                  <w:vAlign w:val="center"/>
                </w:tcPr>
                <w:p>
                  <w:pPr>
                    <w:adjustRightInd w:val="0"/>
                    <w:snapToGrid w:val="0"/>
                    <w:spacing w:line="0" w:lineRule="atLeast"/>
                    <w:jc w:val="center"/>
                    <w:rPr>
                      <w:color w:val="auto"/>
                      <w:sz w:val="21"/>
                      <w:szCs w:val="21"/>
                      <w:highlight w:val="none"/>
                    </w:rPr>
                  </w:pPr>
                </w:p>
              </w:tc>
              <w:tc>
                <w:tcPr>
                  <w:tcW w:w="977"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铣床</w:t>
                  </w:r>
                  <w:r>
                    <w:rPr>
                      <w:rFonts w:hint="eastAsia"/>
                      <w:color w:val="auto"/>
                      <w:szCs w:val="21"/>
                      <w:highlight w:val="none"/>
                      <w:lang w:eastAsia="zh-CN"/>
                    </w:rPr>
                    <w:t>、锯床</w:t>
                  </w:r>
                </w:p>
              </w:tc>
              <w:tc>
                <w:tcPr>
                  <w:tcW w:w="1092"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含油金属屑</w:t>
                  </w:r>
                </w:p>
              </w:tc>
              <w:tc>
                <w:tcPr>
                  <w:tcW w:w="2273" w:type="dxa"/>
                  <w:vAlign w:val="center"/>
                </w:tcPr>
                <w:p>
                  <w:pPr>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rPr>
                    <w:t>含</w:t>
                  </w:r>
                  <w:r>
                    <w:rPr>
                      <w:rFonts w:hint="eastAsia"/>
                      <w:color w:val="auto"/>
                      <w:highlight w:val="none"/>
                      <w:lang w:eastAsia="zh-CN"/>
                    </w:rPr>
                    <w:t>油</w:t>
                  </w:r>
                  <w:r>
                    <w:rPr>
                      <w:rFonts w:hint="eastAsia"/>
                      <w:color w:val="auto"/>
                      <w:highlight w:val="none"/>
                    </w:rPr>
                    <w:t>金属屑单独收集后放入离心分离设备内，在离心力的作用下，将金属屑与</w:t>
                  </w:r>
                  <w:r>
                    <w:rPr>
                      <w:rFonts w:hint="eastAsia"/>
                      <w:color w:val="auto"/>
                      <w:highlight w:val="none"/>
                      <w:lang w:eastAsia="zh-CN"/>
                    </w:rPr>
                    <w:t>废</w:t>
                  </w:r>
                  <w:r>
                    <w:rPr>
                      <w:rFonts w:hint="eastAsia"/>
                      <w:color w:val="auto"/>
                      <w:highlight w:val="none"/>
                    </w:rPr>
                    <w:t>切削液分开，离</w:t>
                  </w:r>
                  <w:r>
                    <w:rPr>
                      <w:rFonts w:hint="eastAsia"/>
                      <w:color w:val="auto"/>
                      <w:highlight w:val="none"/>
                      <w:lang w:eastAsia="zh-CN"/>
                    </w:rPr>
                    <w:t>心</w:t>
                  </w:r>
                  <w:r>
                    <w:rPr>
                      <w:rFonts w:hint="eastAsia"/>
                      <w:color w:val="auto"/>
                      <w:highlight w:val="none"/>
                    </w:rPr>
                    <w:t>设备收集桶内收集的废切削液倒入回收桶内，加盖储存，可重新回用于生产，</w:t>
                  </w:r>
                  <w:r>
                    <w:rPr>
                      <w:rFonts w:hint="eastAsia"/>
                      <w:color w:val="auto"/>
                      <w:highlight w:val="none"/>
                      <w:lang w:eastAsia="zh-CN"/>
                    </w:rPr>
                    <w:t>定期更换；</w:t>
                  </w:r>
                  <w:r>
                    <w:rPr>
                      <w:rFonts w:hint="eastAsia"/>
                      <w:color w:val="auto"/>
                      <w:highlight w:val="none"/>
                    </w:rPr>
                    <w:t>离心后的废金属屑袋装收集储存不落地</w:t>
                  </w:r>
                  <w:r>
                    <w:rPr>
                      <w:rFonts w:hint="eastAsia"/>
                      <w:color w:val="auto"/>
                      <w:highlight w:val="none"/>
                      <w:lang w:eastAsia="zh-CN"/>
                    </w:rPr>
                    <w:t>，集中收集后外售；新增</w:t>
                  </w:r>
                  <w:r>
                    <w:rPr>
                      <w:rFonts w:hint="eastAsia"/>
                      <w:color w:val="auto"/>
                      <w:highlight w:val="none"/>
                      <w:lang w:val="en-US" w:eastAsia="zh-CN"/>
                    </w:rPr>
                    <w:t>1台离心机</w:t>
                  </w:r>
                </w:p>
              </w:tc>
              <w:tc>
                <w:tcPr>
                  <w:tcW w:w="430" w:type="dxa"/>
                  <w:vAlign w:val="center"/>
                </w:tcPr>
                <w:p>
                  <w:pPr>
                    <w:adjustRightInd w:val="0"/>
                    <w:snapToGrid w:val="0"/>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1</w:t>
                  </w:r>
                </w:p>
              </w:tc>
              <w:tc>
                <w:tcPr>
                  <w:tcW w:w="1210" w:type="dxa"/>
                  <w:vAlign w:val="center"/>
                </w:tcPr>
                <w:p>
                  <w:pPr>
                    <w:adjustRightInd w:val="0"/>
                    <w:snapToGrid w:val="0"/>
                    <w:spacing w:line="0" w:lineRule="atLeast"/>
                    <w:jc w:val="center"/>
                    <w:rPr>
                      <w:rFonts w:hint="eastAsia" w:eastAsia="宋体"/>
                      <w:color w:val="auto"/>
                      <w:sz w:val="21"/>
                      <w:szCs w:val="21"/>
                      <w:highlight w:val="none"/>
                      <w:lang w:eastAsia="zh-CN"/>
                    </w:rPr>
                  </w:pPr>
                  <w:r>
                    <w:rPr>
                      <w:color w:val="auto"/>
                      <w:kern w:val="24"/>
                      <w:sz w:val="21"/>
                      <w:szCs w:val="21"/>
                      <w:highlight w:val="none"/>
                    </w:rPr>
                    <w:t>—</w:t>
                  </w:r>
                </w:p>
              </w:tc>
              <w:tc>
                <w:tcPr>
                  <w:tcW w:w="2762" w:type="dxa"/>
                  <w:vMerge w:val="continue"/>
                  <w:vAlign w:val="center"/>
                </w:tcPr>
                <w:p>
                  <w:pPr>
                    <w:pStyle w:val="53"/>
                    <w:spacing w:line="0" w:lineRule="atLeast"/>
                    <w:jc w:val="center"/>
                    <w:rPr>
                      <w:rFonts w:ascii="Times New Roman" w:hAnsi="Times New Roman"/>
                      <w:color w:val="auto"/>
                      <w:sz w:val="21"/>
                      <w:szCs w:val="21"/>
                      <w:highlight w:val="none"/>
                    </w:rPr>
                  </w:pPr>
                </w:p>
              </w:tc>
            </w:tr>
          </w:tbl>
          <w:p>
            <w:pPr>
              <w:jc w:val="center"/>
              <w:rPr>
                <w:rFonts w:hint="eastAsia"/>
                <w:b/>
                <w:bCs/>
                <w:color w:val="auto"/>
                <w:sz w:val="24"/>
                <w:highlight w:val="none"/>
                <w:lang w:eastAsia="zh-CN"/>
              </w:rPr>
            </w:pPr>
          </w:p>
          <w:p>
            <w:pPr>
              <w:jc w:val="center"/>
              <w:rPr>
                <w:rFonts w:hint="eastAsia"/>
                <w:b/>
                <w:bCs/>
                <w:color w:val="auto"/>
                <w:sz w:val="24"/>
                <w:highlight w:val="none"/>
                <w:lang w:eastAsia="zh-CN"/>
              </w:rPr>
            </w:pPr>
          </w:p>
          <w:p>
            <w:pPr>
              <w:jc w:val="center"/>
              <w:rPr>
                <w:rFonts w:hint="eastAsia"/>
                <w:b/>
                <w:bCs/>
                <w:color w:val="auto"/>
                <w:sz w:val="24"/>
                <w:highlight w:val="none"/>
                <w:lang w:eastAsia="zh-CN"/>
              </w:rPr>
            </w:pPr>
          </w:p>
          <w:p>
            <w:pPr>
              <w:jc w:val="center"/>
              <w:rPr>
                <w:color w:val="auto"/>
                <w:highlight w:val="none"/>
              </w:rPr>
            </w:pPr>
            <w:r>
              <w:rPr>
                <w:rFonts w:hint="eastAsia"/>
                <w:b/>
                <w:bCs/>
                <w:color w:val="auto"/>
                <w:sz w:val="24"/>
                <w:highlight w:val="none"/>
                <w:lang w:eastAsia="zh-CN"/>
              </w:rPr>
              <w:t>续</w:t>
            </w:r>
            <w:r>
              <w:rPr>
                <w:b/>
                <w:bCs/>
                <w:color w:val="auto"/>
                <w:sz w:val="24"/>
                <w:highlight w:val="none"/>
              </w:rPr>
              <w:t>表</w:t>
            </w:r>
            <w:r>
              <w:rPr>
                <w:rFonts w:hint="eastAsia"/>
                <w:b/>
                <w:bCs/>
                <w:color w:val="auto"/>
                <w:sz w:val="24"/>
                <w:highlight w:val="none"/>
                <w:lang w:val="en-US" w:eastAsia="zh-CN"/>
              </w:rPr>
              <w:t>47</w:t>
            </w:r>
            <w:r>
              <w:rPr>
                <w:b/>
                <w:bCs/>
                <w:color w:val="auto"/>
                <w:sz w:val="24"/>
                <w:highlight w:val="none"/>
              </w:rPr>
              <w:t xml:space="preserve">   环境保护设施竣工“三同时”验收一览表</w:t>
            </w:r>
          </w:p>
          <w:tbl>
            <w:tblPr>
              <w:tblStyle w:val="31"/>
              <w:tblW w:w="91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11"/>
              <w:gridCol w:w="838"/>
              <w:gridCol w:w="1371"/>
              <w:gridCol w:w="2045"/>
              <w:gridCol w:w="864"/>
              <w:gridCol w:w="864"/>
              <w:gridCol w:w="276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411" w:type="dxa"/>
                  <w:vAlign w:val="center"/>
                </w:tcPr>
                <w:p>
                  <w:pPr>
                    <w:adjustRightInd w:val="0"/>
                    <w:snapToGrid w:val="0"/>
                    <w:spacing w:line="0" w:lineRule="atLeast"/>
                    <w:jc w:val="center"/>
                    <w:rPr>
                      <w:rFonts w:ascii="Times New Roman" w:hAnsi="Times New Roman" w:eastAsia="宋体" w:cs="Times New Roman"/>
                      <w:b/>
                      <w:color w:val="auto"/>
                      <w:kern w:val="2"/>
                      <w:sz w:val="21"/>
                      <w:szCs w:val="21"/>
                      <w:highlight w:val="none"/>
                      <w:lang w:val="en-US" w:eastAsia="zh-CN" w:bidi="ar-SA"/>
                    </w:rPr>
                  </w:pPr>
                  <w:r>
                    <w:rPr>
                      <w:b/>
                      <w:color w:val="auto"/>
                      <w:sz w:val="21"/>
                      <w:szCs w:val="21"/>
                      <w:highlight w:val="none"/>
                    </w:rPr>
                    <w:t>类别</w:t>
                  </w:r>
                </w:p>
              </w:tc>
              <w:tc>
                <w:tcPr>
                  <w:tcW w:w="838" w:type="dxa"/>
                  <w:vAlign w:val="center"/>
                </w:tcPr>
                <w:p>
                  <w:pPr>
                    <w:adjustRightInd w:val="0"/>
                    <w:snapToGrid w:val="0"/>
                    <w:spacing w:line="0" w:lineRule="atLeast"/>
                    <w:jc w:val="center"/>
                    <w:rPr>
                      <w:rFonts w:ascii="Times New Roman" w:hAnsi="Times New Roman" w:eastAsia="宋体" w:cs="Times New Roman"/>
                      <w:b/>
                      <w:color w:val="auto"/>
                      <w:kern w:val="2"/>
                      <w:sz w:val="21"/>
                      <w:szCs w:val="21"/>
                      <w:highlight w:val="none"/>
                      <w:lang w:val="en-US" w:eastAsia="zh-CN" w:bidi="ar-SA"/>
                    </w:rPr>
                  </w:pPr>
                  <w:r>
                    <w:rPr>
                      <w:b/>
                      <w:color w:val="auto"/>
                      <w:sz w:val="21"/>
                      <w:szCs w:val="21"/>
                      <w:highlight w:val="none"/>
                    </w:rPr>
                    <w:t>污染源</w:t>
                  </w:r>
                </w:p>
              </w:tc>
              <w:tc>
                <w:tcPr>
                  <w:tcW w:w="1371" w:type="dxa"/>
                  <w:vAlign w:val="center"/>
                </w:tcPr>
                <w:p>
                  <w:pPr>
                    <w:adjustRightInd w:val="0"/>
                    <w:snapToGrid w:val="0"/>
                    <w:spacing w:line="0" w:lineRule="atLeast"/>
                    <w:jc w:val="center"/>
                    <w:rPr>
                      <w:rFonts w:hint="eastAsia" w:ascii="Times New Roman" w:hAnsi="Times New Roman" w:eastAsia="宋体" w:cs="Times New Roman"/>
                      <w:b/>
                      <w:color w:val="auto"/>
                      <w:kern w:val="2"/>
                      <w:sz w:val="21"/>
                      <w:szCs w:val="21"/>
                      <w:highlight w:val="none"/>
                      <w:lang w:val="en-US" w:eastAsia="zh-CN" w:bidi="ar-SA"/>
                    </w:rPr>
                  </w:pPr>
                  <w:r>
                    <w:rPr>
                      <w:b/>
                      <w:color w:val="auto"/>
                      <w:sz w:val="21"/>
                      <w:szCs w:val="21"/>
                      <w:highlight w:val="none"/>
                    </w:rPr>
                    <w:t>污染物</w:t>
                  </w:r>
                </w:p>
              </w:tc>
              <w:tc>
                <w:tcPr>
                  <w:tcW w:w="2045" w:type="dxa"/>
                  <w:vAlign w:val="center"/>
                </w:tcPr>
                <w:p>
                  <w:pPr>
                    <w:adjustRightInd w:val="0"/>
                    <w:snapToGrid w:val="0"/>
                    <w:spacing w:line="0" w:lineRule="atLeast"/>
                    <w:jc w:val="center"/>
                    <w:rPr>
                      <w:rFonts w:ascii="Times New Roman" w:hAnsi="Times New Roman" w:eastAsia="宋体" w:cs="Times New Roman"/>
                      <w:b/>
                      <w:color w:val="auto"/>
                      <w:kern w:val="2"/>
                      <w:sz w:val="21"/>
                      <w:szCs w:val="21"/>
                      <w:highlight w:val="none"/>
                      <w:lang w:val="en-US" w:eastAsia="zh-CN" w:bidi="ar-SA"/>
                    </w:rPr>
                  </w:pPr>
                  <w:r>
                    <w:rPr>
                      <w:b/>
                      <w:color w:val="auto"/>
                      <w:sz w:val="21"/>
                      <w:szCs w:val="21"/>
                      <w:highlight w:val="none"/>
                    </w:rPr>
                    <w:t>治理措施及效率</w:t>
                  </w:r>
                </w:p>
              </w:tc>
              <w:tc>
                <w:tcPr>
                  <w:tcW w:w="864" w:type="dxa"/>
                  <w:vAlign w:val="center"/>
                </w:tcPr>
                <w:p>
                  <w:pPr>
                    <w:adjustRightInd w:val="0"/>
                    <w:snapToGrid w:val="0"/>
                    <w:spacing w:line="0" w:lineRule="atLeast"/>
                    <w:jc w:val="center"/>
                    <w:rPr>
                      <w:rFonts w:hint="eastAsia" w:ascii="Times New Roman" w:hAnsi="Times New Roman" w:eastAsia="宋体" w:cs="Times New Roman"/>
                      <w:b/>
                      <w:color w:val="auto"/>
                      <w:kern w:val="2"/>
                      <w:sz w:val="21"/>
                      <w:szCs w:val="21"/>
                      <w:highlight w:val="none"/>
                      <w:lang w:val="en-US" w:eastAsia="zh-CN" w:bidi="ar-SA"/>
                    </w:rPr>
                  </w:pPr>
                  <w:r>
                    <w:rPr>
                      <w:b/>
                      <w:color w:val="auto"/>
                      <w:sz w:val="21"/>
                      <w:szCs w:val="21"/>
                      <w:highlight w:val="none"/>
                    </w:rPr>
                    <w:t>数量</w:t>
                  </w:r>
                </w:p>
              </w:tc>
              <w:tc>
                <w:tcPr>
                  <w:tcW w:w="864" w:type="dxa"/>
                  <w:vAlign w:val="center"/>
                </w:tcPr>
                <w:p>
                  <w:pPr>
                    <w:adjustRightInd w:val="0"/>
                    <w:snapToGrid w:val="0"/>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b/>
                      <w:color w:val="auto"/>
                      <w:sz w:val="21"/>
                      <w:szCs w:val="21"/>
                      <w:highlight w:val="none"/>
                    </w:rPr>
                    <w:t>效果及要求</w:t>
                  </w:r>
                </w:p>
              </w:tc>
              <w:tc>
                <w:tcPr>
                  <w:tcW w:w="2762" w:type="dxa"/>
                  <w:vAlign w:val="center"/>
                </w:tcPr>
                <w:p>
                  <w:pPr>
                    <w:adjustRightInd w:val="0"/>
                    <w:snapToGrid w:val="0"/>
                    <w:spacing w:line="0" w:lineRule="atLeast"/>
                    <w:jc w:val="center"/>
                    <w:rPr>
                      <w:rFonts w:ascii="Times New Roman" w:hAnsi="Times New Roman" w:eastAsia="宋体" w:cs="Times New Roman"/>
                      <w:b/>
                      <w:color w:val="auto"/>
                      <w:kern w:val="2"/>
                      <w:sz w:val="21"/>
                      <w:szCs w:val="21"/>
                      <w:highlight w:val="none"/>
                      <w:lang w:val="en-US" w:eastAsia="zh-CN" w:bidi="ar-SA"/>
                    </w:rPr>
                  </w:pPr>
                  <w:r>
                    <w:rPr>
                      <w:b/>
                      <w:color w:val="auto"/>
                      <w:sz w:val="21"/>
                      <w:szCs w:val="21"/>
                      <w:highlight w:val="none"/>
                    </w:rPr>
                    <w:t>验收标准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411" w:type="dxa"/>
                  <w:vMerge w:val="restart"/>
                  <w:vAlign w:val="center"/>
                </w:tcPr>
                <w:p>
                  <w:pPr>
                    <w:adjustRightInd w:val="0"/>
                    <w:snapToGrid w:val="0"/>
                    <w:spacing w:line="0" w:lineRule="atLeast"/>
                    <w:jc w:val="center"/>
                    <w:rPr>
                      <w:rFonts w:hint="eastAsia" w:eastAsia="宋体"/>
                      <w:b/>
                      <w:color w:val="auto"/>
                      <w:sz w:val="21"/>
                      <w:szCs w:val="21"/>
                      <w:highlight w:val="none"/>
                      <w:lang w:eastAsia="zh-CN"/>
                    </w:rPr>
                  </w:pPr>
                  <w:r>
                    <w:rPr>
                      <w:rFonts w:hint="eastAsia"/>
                      <w:b/>
                      <w:color w:val="auto"/>
                      <w:sz w:val="21"/>
                      <w:szCs w:val="21"/>
                      <w:highlight w:val="none"/>
                      <w:lang w:eastAsia="zh-CN"/>
                    </w:rPr>
                    <w:t>固废</w:t>
                  </w:r>
                </w:p>
              </w:tc>
              <w:tc>
                <w:tcPr>
                  <w:tcW w:w="838" w:type="dxa"/>
                  <w:vMerge w:val="restart"/>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设备运转维修</w:t>
                  </w:r>
                  <w:r>
                    <w:rPr>
                      <w:rFonts w:hint="eastAsia"/>
                      <w:color w:val="auto"/>
                      <w:szCs w:val="21"/>
                      <w:highlight w:val="none"/>
                      <w:lang w:eastAsia="zh-CN"/>
                    </w:rPr>
                    <w:t>、铣床</w:t>
                  </w:r>
                </w:p>
              </w:tc>
              <w:tc>
                <w:tcPr>
                  <w:tcW w:w="1371"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废切削液</w:t>
                  </w:r>
                </w:p>
              </w:tc>
              <w:tc>
                <w:tcPr>
                  <w:tcW w:w="2045" w:type="dxa"/>
                  <w:vMerge w:val="restart"/>
                  <w:vAlign w:val="center"/>
                </w:tcPr>
                <w:p>
                  <w:pPr>
                    <w:widowControl/>
                    <w:tabs>
                      <w:tab w:val="left" w:pos="2951"/>
                    </w:tabs>
                    <w:jc w:val="center"/>
                    <w:rPr>
                      <w:rFonts w:hint="eastAsia" w:ascii="Times New Roman" w:hAnsi="Times New Roman" w:eastAsia="宋体" w:cs="Times New Roman"/>
                      <w:color w:val="auto"/>
                      <w:kern w:val="2"/>
                      <w:sz w:val="21"/>
                      <w:szCs w:val="21"/>
                      <w:highlight w:val="none"/>
                      <w:lang w:val="en-US" w:eastAsia="zh-CN" w:bidi="he-IL"/>
                    </w:rPr>
                  </w:pPr>
                  <w:r>
                    <w:rPr>
                      <w:color w:val="auto"/>
                      <w:sz w:val="21"/>
                      <w:szCs w:val="21"/>
                      <w:highlight w:val="none"/>
                    </w:rPr>
                    <w:t>暂存于</w:t>
                  </w:r>
                  <w:r>
                    <w:rPr>
                      <w:rFonts w:hint="eastAsia"/>
                      <w:color w:val="auto"/>
                      <w:sz w:val="21"/>
                      <w:szCs w:val="21"/>
                      <w:highlight w:val="none"/>
                      <w:lang w:eastAsia="zh-CN"/>
                    </w:rPr>
                    <w:t>现有工程</w:t>
                  </w:r>
                  <w:r>
                    <w:rPr>
                      <w:color w:val="auto"/>
                      <w:sz w:val="21"/>
                      <w:szCs w:val="21"/>
                      <w:highlight w:val="none"/>
                    </w:rPr>
                    <w:t>危废暂存间，委托有资质的单位处理</w:t>
                  </w:r>
                </w:p>
              </w:tc>
              <w:tc>
                <w:tcPr>
                  <w:tcW w:w="1728" w:type="dxa"/>
                  <w:gridSpan w:val="2"/>
                  <w:vMerge w:val="restart"/>
                  <w:vAlign w:val="center"/>
                </w:tcPr>
                <w:p>
                  <w:pPr>
                    <w:adjustRightInd w:val="0"/>
                    <w:snapToGrid w:val="0"/>
                    <w:spacing w:line="0" w:lineRule="atLeast"/>
                    <w:jc w:val="center"/>
                    <w:rPr>
                      <w:rFonts w:hint="eastAsia"/>
                      <w:b/>
                      <w:color w:val="auto"/>
                      <w:sz w:val="21"/>
                      <w:szCs w:val="21"/>
                      <w:highlight w:val="none"/>
                    </w:rPr>
                  </w:pPr>
                  <w:r>
                    <w:rPr>
                      <w:color w:val="auto"/>
                      <w:kern w:val="24"/>
                      <w:sz w:val="21"/>
                      <w:szCs w:val="21"/>
                      <w:highlight w:val="none"/>
                    </w:rPr>
                    <w:t>—</w:t>
                  </w:r>
                </w:p>
              </w:tc>
              <w:tc>
                <w:tcPr>
                  <w:tcW w:w="2762" w:type="dxa"/>
                  <w:vMerge w:val="restart"/>
                  <w:vAlign w:val="center"/>
                </w:tcPr>
                <w:p>
                  <w:pPr>
                    <w:pStyle w:val="53"/>
                    <w:spacing w:line="0" w:lineRule="atLeast"/>
                    <w:jc w:val="center"/>
                    <w:rPr>
                      <w:rFonts w:ascii="Times New Roman" w:hAnsi="Times New Roman" w:eastAsia="宋体" w:cs="Times New Roman"/>
                      <w:bCs/>
                      <w:color w:val="auto"/>
                      <w:kern w:val="2"/>
                      <w:sz w:val="21"/>
                      <w:szCs w:val="21"/>
                      <w:highlight w:val="none"/>
                      <w:lang w:val="en-US" w:eastAsia="zh-CN" w:bidi="ar-SA"/>
                    </w:rPr>
                  </w:pPr>
                  <w:r>
                    <w:rPr>
                      <w:rFonts w:ascii="Times New Roman" w:hAnsi="Times New Roman"/>
                      <w:bCs w:val="0"/>
                      <w:snapToGrid w:val="0"/>
                      <w:color w:val="auto"/>
                      <w:sz w:val="21"/>
                      <w:szCs w:val="21"/>
                      <w:highlight w:val="none"/>
                    </w:rPr>
                    <w:t>危险固废《危险废物贮存污染控制标准》（GB18597－2001）及2013年修改单（公告2013年第36号）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411" w:type="dxa"/>
                  <w:vMerge w:val="continue"/>
                  <w:vAlign w:val="center"/>
                </w:tcPr>
                <w:p>
                  <w:pPr>
                    <w:adjustRightInd w:val="0"/>
                    <w:snapToGrid w:val="0"/>
                    <w:spacing w:line="0" w:lineRule="atLeast"/>
                    <w:jc w:val="center"/>
                    <w:rPr>
                      <w:b/>
                      <w:color w:val="auto"/>
                      <w:sz w:val="21"/>
                      <w:szCs w:val="21"/>
                      <w:highlight w:val="none"/>
                    </w:rPr>
                  </w:pPr>
                </w:p>
              </w:tc>
              <w:tc>
                <w:tcPr>
                  <w:tcW w:w="838" w:type="dxa"/>
                  <w:vMerge w:val="continue"/>
                  <w:vAlign w:val="center"/>
                </w:tcPr>
                <w:p>
                  <w:pPr>
                    <w:widowControl/>
                    <w:jc w:val="center"/>
                    <w:rPr>
                      <w:rFonts w:hint="eastAsia" w:ascii="Times New Roman" w:hAnsi="Times New Roman" w:eastAsia="宋体" w:cs="Times New Roman"/>
                      <w:color w:val="auto"/>
                      <w:kern w:val="2"/>
                      <w:sz w:val="21"/>
                      <w:szCs w:val="21"/>
                      <w:highlight w:val="none"/>
                      <w:lang w:val="en-US" w:eastAsia="zh-CN" w:bidi="ar-SA"/>
                    </w:rPr>
                  </w:pPr>
                </w:p>
              </w:tc>
              <w:tc>
                <w:tcPr>
                  <w:tcW w:w="1371"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废润滑油</w:t>
                  </w:r>
                </w:p>
              </w:tc>
              <w:tc>
                <w:tcPr>
                  <w:tcW w:w="2045" w:type="dxa"/>
                  <w:vMerge w:val="continue"/>
                  <w:vAlign w:val="center"/>
                </w:tcPr>
                <w:p>
                  <w:pPr>
                    <w:widowControl/>
                    <w:tabs>
                      <w:tab w:val="left" w:pos="2951"/>
                    </w:tabs>
                    <w:jc w:val="center"/>
                    <w:rPr>
                      <w:rFonts w:hint="eastAsia" w:ascii="Times New Roman" w:hAnsi="Times New Roman" w:eastAsia="宋体" w:cs="Times New Roman"/>
                      <w:color w:val="auto"/>
                      <w:kern w:val="2"/>
                      <w:sz w:val="21"/>
                      <w:szCs w:val="21"/>
                      <w:highlight w:val="none"/>
                      <w:lang w:val="en-US" w:eastAsia="zh-CN" w:bidi="he-IL"/>
                    </w:rPr>
                  </w:pPr>
                </w:p>
              </w:tc>
              <w:tc>
                <w:tcPr>
                  <w:tcW w:w="1728" w:type="dxa"/>
                  <w:gridSpan w:val="2"/>
                  <w:vMerge w:val="continue"/>
                  <w:vAlign w:val="center"/>
                </w:tcPr>
                <w:p>
                  <w:pPr>
                    <w:adjustRightInd w:val="0"/>
                    <w:snapToGrid w:val="0"/>
                    <w:spacing w:line="0" w:lineRule="atLeast"/>
                    <w:jc w:val="center"/>
                    <w:rPr>
                      <w:rFonts w:hint="eastAsia"/>
                      <w:b/>
                      <w:color w:val="auto"/>
                      <w:sz w:val="21"/>
                      <w:szCs w:val="21"/>
                      <w:highlight w:val="none"/>
                    </w:rPr>
                  </w:pPr>
                </w:p>
              </w:tc>
              <w:tc>
                <w:tcPr>
                  <w:tcW w:w="2762" w:type="dxa"/>
                  <w:vMerge w:val="continue"/>
                  <w:vAlign w:val="center"/>
                </w:tcPr>
                <w:p>
                  <w:pPr>
                    <w:adjustRightInd w:val="0"/>
                    <w:snapToGrid w:val="0"/>
                    <w:spacing w:line="0" w:lineRule="atLeast"/>
                    <w:jc w:val="center"/>
                    <w:rPr>
                      <w:b/>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411" w:type="dxa"/>
                  <w:vMerge w:val="continue"/>
                  <w:vAlign w:val="center"/>
                </w:tcPr>
                <w:p>
                  <w:pPr>
                    <w:adjustRightInd w:val="0"/>
                    <w:snapToGrid w:val="0"/>
                    <w:spacing w:line="0" w:lineRule="atLeast"/>
                    <w:jc w:val="center"/>
                    <w:rPr>
                      <w:b/>
                      <w:color w:val="auto"/>
                      <w:sz w:val="21"/>
                      <w:szCs w:val="21"/>
                      <w:highlight w:val="none"/>
                    </w:rPr>
                  </w:pPr>
                </w:p>
              </w:tc>
              <w:tc>
                <w:tcPr>
                  <w:tcW w:w="838" w:type="dxa"/>
                  <w:vMerge w:val="continue"/>
                  <w:vAlign w:val="center"/>
                </w:tcPr>
                <w:p>
                  <w:pPr>
                    <w:widowControl/>
                    <w:jc w:val="center"/>
                    <w:rPr>
                      <w:rFonts w:hint="eastAsia" w:ascii="Times New Roman" w:hAnsi="Times New Roman" w:eastAsia="宋体" w:cs="Times New Roman"/>
                      <w:color w:val="auto"/>
                      <w:kern w:val="2"/>
                      <w:sz w:val="21"/>
                      <w:szCs w:val="21"/>
                      <w:highlight w:val="none"/>
                      <w:lang w:val="en-US" w:eastAsia="zh-CN" w:bidi="ar-SA"/>
                    </w:rPr>
                  </w:pPr>
                </w:p>
              </w:tc>
              <w:tc>
                <w:tcPr>
                  <w:tcW w:w="1371"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废液压油</w:t>
                  </w:r>
                </w:p>
              </w:tc>
              <w:tc>
                <w:tcPr>
                  <w:tcW w:w="2045" w:type="dxa"/>
                  <w:vMerge w:val="continue"/>
                  <w:vAlign w:val="center"/>
                </w:tcPr>
                <w:p>
                  <w:pPr>
                    <w:adjustRightInd w:val="0"/>
                    <w:snapToGrid w:val="0"/>
                    <w:spacing w:line="0" w:lineRule="atLeast"/>
                    <w:jc w:val="center"/>
                    <w:rPr>
                      <w:b/>
                      <w:color w:val="auto"/>
                      <w:sz w:val="21"/>
                      <w:szCs w:val="21"/>
                      <w:highlight w:val="none"/>
                    </w:rPr>
                  </w:pPr>
                </w:p>
              </w:tc>
              <w:tc>
                <w:tcPr>
                  <w:tcW w:w="1728" w:type="dxa"/>
                  <w:gridSpan w:val="2"/>
                  <w:vMerge w:val="continue"/>
                  <w:vAlign w:val="center"/>
                </w:tcPr>
                <w:p>
                  <w:pPr>
                    <w:adjustRightInd w:val="0"/>
                    <w:snapToGrid w:val="0"/>
                    <w:spacing w:line="0" w:lineRule="atLeast"/>
                    <w:jc w:val="center"/>
                    <w:rPr>
                      <w:rFonts w:hint="eastAsia"/>
                      <w:b/>
                      <w:color w:val="auto"/>
                      <w:sz w:val="21"/>
                      <w:szCs w:val="21"/>
                      <w:highlight w:val="none"/>
                    </w:rPr>
                  </w:pPr>
                </w:p>
              </w:tc>
              <w:tc>
                <w:tcPr>
                  <w:tcW w:w="2762" w:type="dxa"/>
                  <w:vMerge w:val="continue"/>
                  <w:vAlign w:val="center"/>
                </w:tcPr>
                <w:p>
                  <w:pPr>
                    <w:adjustRightInd w:val="0"/>
                    <w:snapToGrid w:val="0"/>
                    <w:spacing w:line="0" w:lineRule="atLeast"/>
                    <w:jc w:val="center"/>
                    <w:rPr>
                      <w:b/>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411" w:type="dxa"/>
                  <w:vMerge w:val="continue"/>
                  <w:vAlign w:val="center"/>
                </w:tcPr>
                <w:p>
                  <w:pPr>
                    <w:adjustRightInd w:val="0"/>
                    <w:snapToGrid w:val="0"/>
                    <w:spacing w:line="0" w:lineRule="atLeast"/>
                    <w:jc w:val="center"/>
                    <w:rPr>
                      <w:b/>
                      <w:color w:val="auto"/>
                      <w:sz w:val="21"/>
                      <w:szCs w:val="21"/>
                      <w:highlight w:val="none"/>
                    </w:rPr>
                  </w:pPr>
                </w:p>
              </w:tc>
              <w:tc>
                <w:tcPr>
                  <w:tcW w:w="838" w:type="dxa"/>
                  <w:vMerge w:val="continue"/>
                  <w:vAlign w:val="center"/>
                </w:tcPr>
                <w:p>
                  <w:pPr>
                    <w:tabs>
                      <w:tab w:val="left" w:pos="2604"/>
                    </w:tabs>
                    <w:spacing w:line="0" w:lineRule="atLeast"/>
                    <w:jc w:val="center"/>
                    <w:rPr>
                      <w:rFonts w:hint="eastAsia" w:ascii="Times New Roman" w:hAnsi="Times New Roman" w:eastAsia="宋体" w:cs="Times New Roman"/>
                      <w:color w:val="auto"/>
                      <w:kern w:val="2"/>
                      <w:sz w:val="21"/>
                      <w:szCs w:val="21"/>
                      <w:highlight w:val="none"/>
                      <w:lang w:val="en-US" w:eastAsia="zh-CN" w:bidi="ar-SA"/>
                    </w:rPr>
                  </w:pPr>
                </w:p>
              </w:tc>
              <w:tc>
                <w:tcPr>
                  <w:tcW w:w="1371" w:type="dxa"/>
                  <w:vAlign w:val="center"/>
                </w:tcPr>
                <w:p>
                  <w:pPr>
                    <w:tabs>
                      <w:tab w:val="left" w:pos="2604"/>
                    </w:tabs>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废包装桶</w:t>
                  </w:r>
                </w:p>
              </w:tc>
              <w:tc>
                <w:tcPr>
                  <w:tcW w:w="2045" w:type="dxa"/>
                  <w:vMerge w:val="continue"/>
                  <w:vAlign w:val="center"/>
                </w:tcPr>
                <w:p>
                  <w:pPr>
                    <w:tabs>
                      <w:tab w:val="left" w:pos="2604"/>
                    </w:tabs>
                    <w:spacing w:line="400" w:lineRule="exact"/>
                    <w:jc w:val="center"/>
                    <w:rPr>
                      <w:rFonts w:hint="eastAsia" w:ascii="Times New Roman" w:hAnsi="Times New Roman" w:eastAsia="宋体" w:cs="Times New Roman"/>
                      <w:color w:val="auto"/>
                      <w:kern w:val="2"/>
                      <w:sz w:val="21"/>
                      <w:szCs w:val="21"/>
                      <w:highlight w:val="none"/>
                      <w:lang w:val="en-US" w:eastAsia="zh-CN" w:bidi="ar-SA"/>
                    </w:rPr>
                  </w:pPr>
                </w:p>
              </w:tc>
              <w:tc>
                <w:tcPr>
                  <w:tcW w:w="1728" w:type="dxa"/>
                  <w:gridSpan w:val="2"/>
                  <w:vMerge w:val="continue"/>
                  <w:vAlign w:val="center"/>
                </w:tcPr>
                <w:p>
                  <w:pPr>
                    <w:adjustRightInd w:val="0"/>
                    <w:snapToGrid w:val="0"/>
                    <w:spacing w:line="0" w:lineRule="atLeast"/>
                    <w:jc w:val="center"/>
                    <w:rPr>
                      <w:rFonts w:hint="eastAsia"/>
                      <w:b/>
                      <w:color w:val="auto"/>
                      <w:sz w:val="21"/>
                      <w:szCs w:val="21"/>
                      <w:highlight w:val="none"/>
                    </w:rPr>
                  </w:pPr>
                </w:p>
              </w:tc>
              <w:tc>
                <w:tcPr>
                  <w:tcW w:w="2762" w:type="dxa"/>
                  <w:vMerge w:val="continue"/>
                  <w:vAlign w:val="center"/>
                </w:tcPr>
                <w:p>
                  <w:pPr>
                    <w:pStyle w:val="53"/>
                    <w:spacing w:line="0" w:lineRule="atLeast"/>
                    <w:jc w:val="center"/>
                    <w:rPr>
                      <w:rFonts w:ascii="Times New Roman" w:hAnsi="Times New Roman" w:eastAsia="宋体" w:cs="Times New Roman"/>
                      <w:bCs/>
                      <w:color w:val="auto"/>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411" w:type="dxa"/>
                  <w:vMerge w:val="continue"/>
                  <w:vAlign w:val="center"/>
                </w:tcPr>
                <w:p>
                  <w:pPr>
                    <w:adjustRightInd w:val="0"/>
                    <w:snapToGrid w:val="0"/>
                    <w:spacing w:line="0" w:lineRule="atLeast"/>
                    <w:jc w:val="center"/>
                    <w:rPr>
                      <w:b/>
                      <w:color w:val="auto"/>
                      <w:sz w:val="21"/>
                      <w:szCs w:val="21"/>
                      <w:highlight w:val="none"/>
                    </w:rPr>
                  </w:pPr>
                </w:p>
              </w:tc>
              <w:tc>
                <w:tcPr>
                  <w:tcW w:w="838" w:type="dxa"/>
                  <w:vAlign w:val="center"/>
                </w:tcPr>
                <w:p>
                  <w:pPr>
                    <w:tabs>
                      <w:tab w:val="left" w:pos="2604"/>
                    </w:tabs>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设备维修</w:t>
                  </w:r>
                </w:p>
              </w:tc>
              <w:tc>
                <w:tcPr>
                  <w:tcW w:w="1371" w:type="dxa"/>
                  <w:vAlign w:val="center"/>
                </w:tcPr>
                <w:p>
                  <w:pPr>
                    <w:tabs>
                      <w:tab w:val="left" w:pos="2604"/>
                    </w:tabs>
                    <w:jc w:val="center"/>
                    <w:rPr>
                      <w:rFonts w:hint="eastAsia"/>
                      <w:color w:val="auto"/>
                      <w:szCs w:val="21"/>
                      <w:highlight w:val="none"/>
                      <w:lang w:eastAsia="zh-CN"/>
                    </w:rPr>
                  </w:pPr>
                  <w:r>
                    <w:rPr>
                      <w:rFonts w:hint="eastAsia"/>
                      <w:color w:val="auto"/>
                      <w:szCs w:val="21"/>
                      <w:highlight w:val="none"/>
                      <w:lang w:eastAsia="zh-CN"/>
                    </w:rPr>
                    <w:t>含油废抹布及废手套</w:t>
                  </w:r>
                </w:p>
              </w:tc>
              <w:tc>
                <w:tcPr>
                  <w:tcW w:w="2045" w:type="dxa"/>
                  <w:vMerge w:val="continue"/>
                  <w:vAlign w:val="center"/>
                </w:tcPr>
                <w:p>
                  <w:pPr>
                    <w:tabs>
                      <w:tab w:val="left" w:pos="2604"/>
                    </w:tabs>
                    <w:spacing w:line="400" w:lineRule="exact"/>
                    <w:jc w:val="center"/>
                    <w:rPr>
                      <w:rFonts w:hint="eastAsia" w:ascii="Times New Roman" w:hAnsi="Times New Roman" w:eastAsia="宋体" w:cs="Times New Roman"/>
                      <w:color w:val="auto"/>
                      <w:kern w:val="2"/>
                      <w:sz w:val="21"/>
                      <w:szCs w:val="21"/>
                      <w:highlight w:val="none"/>
                      <w:lang w:val="en-US" w:eastAsia="zh-CN" w:bidi="ar-SA"/>
                    </w:rPr>
                  </w:pPr>
                </w:p>
              </w:tc>
              <w:tc>
                <w:tcPr>
                  <w:tcW w:w="1728" w:type="dxa"/>
                  <w:gridSpan w:val="2"/>
                  <w:vAlign w:val="center"/>
                </w:tcPr>
                <w:p>
                  <w:pPr>
                    <w:adjustRightInd w:val="0"/>
                    <w:snapToGrid w:val="0"/>
                    <w:spacing w:line="0" w:lineRule="atLeast"/>
                    <w:jc w:val="center"/>
                    <w:rPr>
                      <w:rFonts w:hint="eastAsia"/>
                      <w:b/>
                      <w:color w:val="auto"/>
                      <w:sz w:val="21"/>
                      <w:szCs w:val="21"/>
                      <w:highlight w:val="none"/>
                    </w:rPr>
                  </w:pPr>
                  <w:r>
                    <w:rPr>
                      <w:color w:val="auto"/>
                      <w:kern w:val="24"/>
                      <w:sz w:val="21"/>
                      <w:szCs w:val="21"/>
                      <w:highlight w:val="none"/>
                    </w:rPr>
                    <w:t>—</w:t>
                  </w:r>
                </w:p>
              </w:tc>
              <w:tc>
                <w:tcPr>
                  <w:tcW w:w="2762" w:type="dxa"/>
                  <w:vMerge w:val="continue"/>
                  <w:vAlign w:val="center"/>
                </w:tcPr>
                <w:p>
                  <w:pPr>
                    <w:pStyle w:val="53"/>
                    <w:spacing w:line="0" w:lineRule="atLeast"/>
                    <w:jc w:val="center"/>
                    <w:rPr>
                      <w:rFonts w:ascii="Times New Roman" w:hAnsi="Times New Roman" w:eastAsia="宋体" w:cs="Times New Roman"/>
                      <w:bCs/>
                      <w:color w:val="auto"/>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411" w:type="dxa"/>
                  <w:vAlign w:val="center"/>
                </w:tcPr>
                <w:p>
                  <w:pPr>
                    <w:adjustRightInd w:val="0"/>
                    <w:snapToGrid w:val="0"/>
                    <w:spacing w:line="0" w:lineRule="atLeast"/>
                    <w:jc w:val="center"/>
                    <w:rPr>
                      <w:rFonts w:hint="eastAsia" w:eastAsia="宋体"/>
                      <w:color w:val="auto"/>
                      <w:sz w:val="21"/>
                      <w:szCs w:val="21"/>
                      <w:highlight w:val="none"/>
                      <w:lang w:eastAsia="zh-CN"/>
                    </w:rPr>
                  </w:pPr>
                  <w:r>
                    <w:rPr>
                      <w:rFonts w:hint="eastAsia"/>
                      <w:color w:val="auto"/>
                      <w:sz w:val="21"/>
                      <w:szCs w:val="21"/>
                      <w:highlight w:val="none"/>
                      <w:lang w:eastAsia="zh-CN"/>
                    </w:rPr>
                    <w:t>风险</w:t>
                  </w:r>
                </w:p>
              </w:tc>
              <w:tc>
                <w:tcPr>
                  <w:tcW w:w="8744" w:type="dxa"/>
                  <w:gridSpan w:val="6"/>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详见表41。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411" w:type="dxa"/>
                  <w:vAlign w:val="center"/>
                </w:tcPr>
                <w:p>
                  <w:pPr>
                    <w:adjustRightInd w:val="0"/>
                    <w:snapToGrid w:val="0"/>
                    <w:spacing w:line="0" w:lineRule="atLeast"/>
                    <w:jc w:val="center"/>
                    <w:rPr>
                      <w:rFonts w:hint="eastAsia"/>
                      <w:color w:val="auto"/>
                      <w:sz w:val="21"/>
                      <w:szCs w:val="21"/>
                      <w:highlight w:val="none"/>
                      <w:lang w:eastAsia="zh-CN"/>
                    </w:rPr>
                  </w:pPr>
                  <w:r>
                    <w:rPr>
                      <w:rFonts w:hint="eastAsia"/>
                      <w:color w:val="auto"/>
                      <w:sz w:val="21"/>
                      <w:szCs w:val="21"/>
                      <w:highlight w:val="none"/>
                      <w:lang w:eastAsia="zh-CN"/>
                    </w:rPr>
                    <w:t>以新带老整改措施</w:t>
                  </w:r>
                </w:p>
              </w:tc>
              <w:tc>
                <w:tcPr>
                  <w:tcW w:w="8744" w:type="dxa"/>
                  <w:gridSpan w:val="6"/>
                  <w:vAlign w:val="center"/>
                </w:tcPr>
                <w:p>
                  <w:pPr>
                    <w:pStyle w:val="52"/>
                    <w:keepNext w:val="0"/>
                    <w:keepLines w:val="0"/>
                    <w:pageBreakBefore w:val="0"/>
                    <w:widowControl w:val="0"/>
                    <w:kinsoku/>
                    <w:wordWrap/>
                    <w:overflowPunct/>
                    <w:topLinePunct w:val="0"/>
                    <w:autoSpaceDE/>
                    <w:autoSpaceDN/>
                    <w:bidi w:val="0"/>
                    <w:spacing w:line="240" w:lineRule="auto"/>
                    <w:ind w:left="0" w:leftChars="0" w:right="0" w:firstLine="0" w:firstLineChars="0"/>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1、及时</w:t>
                  </w:r>
                  <w:r>
                    <w:rPr>
                      <w:rFonts w:hint="eastAsia" w:cs="Times New Roman"/>
                      <w:color w:val="auto"/>
                      <w:sz w:val="21"/>
                      <w:szCs w:val="21"/>
                      <w:highlight w:val="none"/>
                      <w:lang w:eastAsia="zh-CN"/>
                    </w:rPr>
                    <w:t>办理排污许可手续</w:t>
                  </w:r>
                  <w:r>
                    <w:rPr>
                      <w:rFonts w:hint="eastAsia" w:ascii="Times New Roman" w:hAnsi="Times New Roman" w:cs="Times New Roman"/>
                      <w:color w:val="auto"/>
                      <w:sz w:val="21"/>
                      <w:szCs w:val="21"/>
                      <w:highlight w:val="none"/>
                      <w:lang w:eastAsia="zh-CN"/>
                    </w:rPr>
                    <w:t>；</w:t>
                  </w:r>
                </w:p>
                <w:p>
                  <w:pPr>
                    <w:pStyle w:val="52"/>
                    <w:keepNext w:val="0"/>
                    <w:keepLines w:val="0"/>
                    <w:pageBreakBefore w:val="0"/>
                    <w:widowControl w:val="0"/>
                    <w:kinsoku/>
                    <w:wordWrap/>
                    <w:overflowPunct/>
                    <w:topLinePunct w:val="0"/>
                    <w:autoSpaceDE/>
                    <w:autoSpaceDN/>
                    <w:bidi w:val="0"/>
                    <w:spacing w:line="240" w:lineRule="auto"/>
                    <w:ind w:left="0" w:leftChars="0" w:right="0" w:firstLine="0" w:firstLineChars="0"/>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2、设置1台离心机，对</w:t>
                  </w:r>
                  <w:r>
                    <w:rPr>
                      <w:rFonts w:hint="eastAsia" w:ascii="Times New Roman" w:hAnsi="Times New Roman" w:cs="Times New Roman"/>
                      <w:color w:val="auto"/>
                      <w:sz w:val="21"/>
                      <w:szCs w:val="21"/>
                      <w:highlight w:val="none"/>
                      <w:lang w:eastAsia="zh-CN"/>
                    </w:rPr>
                    <w:t>含油金属屑进行分离</w:t>
                  </w:r>
                  <w:r>
                    <w:rPr>
                      <w:rFonts w:hint="eastAsia" w:cs="Times New Roman"/>
                      <w:color w:val="auto"/>
                      <w:sz w:val="21"/>
                      <w:szCs w:val="21"/>
                      <w:highlight w:val="none"/>
                      <w:lang w:eastAsia="zh-CN"/>
                    </w:rPr>
                    <w:t>（全厂共用）</w:t>
                  </w:r>
                  <w:r>
                    <w:rPr>
                      <w:rFonts w:hint="eastAsia" w:ascii="Times New Roman" w:hAnsi="Times New Roman" w:cs="Times New Roman"/>
                      <w:color w:val="auto"/>
                      <w:sz w:val="21"/>
                      <w:szCs w:val="21"/>
                      <w:highlight w:val="none"/>
                      <w:lang w:eastAsia="zh-CN"/>
                    </w:rPr>
                    <w:t>。</w:t>
                  </w:r>
                </w:p>
                <w:p>
                  <w:pPr>
                    <w:pStyle w:val="52"/>
                    <w:keepNext w:val="0"/>
                    <w:keepLines w:val="0"/>
                    <w:pageBreakBefore w:val="0"/>
                    <w:widowControl w:val="0"/>
                    <w:kinsoku/>
                    <w:wordWrap/>
                    <w:overflowPunct/>
                    <w:topLinePunct w:val="0"/>
                    <w:autoSpaceDE/>
                    <w:autoSpaceDN/>
                    <w:bidi w:val="0"/>
                    <w:spacing w:line="240" w:lineRule="auto"/>
                    <w:ind w:left="0" w:leftChars="0" w:right="0" w:firstLine="0" w:firstLineChars="0"/>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3、对现有</w:t>
                  </w:r>
                  <w:r>
                    <w:rPr>
                      <w:rFonts w:hint="eastAsia" w:ascii="Times New Roman" w:hAnsi="Times New Roman" w:cs="Times New Roman"/>
                      <w:color w:val="auto"/>
                      <w:sz w:val="21"/>
                      <w:szCs w:val="21"/>
                      <w:highlight w:val="none"/>
                      <w:lang w:eastAsia="zh-CN"/>
                    </w:rPr>
                    <w:t>危废暂存间进行改造，按照《危险废物贮存污染控制标准》（GB18597-2001）中的有关规定进行改造，四周设围堰，并做到防风、防雨、防晒。</w:t>
                  </w:r>
                </w:p>
                <w:p>
                  <w:pPr>
                    <w:pStyle w:val="52"/>
                    <w:keepNext w:val="0"/>
                    <w:keepLines w:val="0"/>
                    <w:pageBreakBefore w:val="0"/>
                    <w:widowControl w:val="0"/>
                    <w:kinsoku/>
                    <w:wordWrap/>
                    <w:overflowPunct/>
                    <w:topLinePunct w:val="0"/>
                    <w:autoSpaceDE/>
                    <w:autoSpaceDN/>
                    <w:bidi w:val="0"/>
                    <w:spacing w:line="240" w:lineRule="auto"/>
                    <w:ind w:left="0" w:leftChars="0" w:right="0" w:firstLine="0" w:firstLineChars="0"/>
                    <w:textAlignment w:val="auto"/>
                    <w:rPr>
                      <w:color w:val="auto"/>
                      <w:sz w:val="21"/>
                      <w:szCs w:val="21"/>
                      <w:highlight w:val="none"/>
                    </w:rPr>
                  </w:pPr>
                </w:p>
              </w:tc>
            </w:tr>
          </w:tbl>
          <w:p>
            <w:pPr>
              <w:spacing w:line="420" w:lineRule="exact"/>
              <w:ind w:firstLine="480" w:firstLineChars="200"/>
              <w:jc w:val="left"/>
              <w:rPr>
                <w:color w:val="auto"/>
                <w:sz w:val="24"/>
                <w:highlight w:val="none"/>
              </w:rPr>
            </w:pPr>
          </w:p>
          <w:p>
            <w:pPr>
              <w:spacing w:line="420" w:lineRule="exact"/>
              <w:ind w:firstLine="480" w:firstLineChars="200"/>
              <w:jc w:val="left"/>
              <w:rPr>
                <w:color w:val="auto"/>
                <w:sz w:val="24"/>
                <w:highlight w:val="none"/>
              </w:rPr>
            </w:pPr>
          </w:p>
          <w:p>
            <w:pPr>
              <w:pStyle w:val="7"/>
              <w:rPr>
                <w:color w:val="auto"/>
                <w:sz w:val="24"/>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gridAfter w:val="1"/>
          <w:wAfter w:w="56" w:type="dxa"/>
          <w:trHeight w:val="582" w:hRule="atLeast"/>
          <w:jc w:val="center"/>
        </w:trPr>
        <w:tc>
          <w:tcPr>
            <w:tcW w:w="9299" w:type="dxa"/>
            <w:vAlign w:val="center"/>
          </w:tcPr>
          <w:p>
            <w:pPr>
              <w:keepNext w:val="0"/>
              <w:keepLines w:val="0"/>
              <w:pageBreakBefore w:val="0"/>
              <w:widowControl w:val="0"/>
              <w:kinsoku/>
              <w:wordWrap/>
              <w:overflowPunct/>
              <w:topLinePunct w:val="0"/>
              <w:autoSpaceDE/>
              <w:autoSpaceDN/>
              <w:bidi w:val="0"/>
              <w:adjustRightInd/>
              <w:snapToGrid/>
              <w:spacing w:line="480" w:lineRule="exact"/>
              <w:textAlignment w:val="auto"/>
              <w:outlineLvl w:val="0"/>
              <w:rPr>
                <w:b/>
                <w:bCs/>
                <w:color w:val="auto"/>
                <w:sz w:val="32"/>
                <w:highlight w:val="none"/>
              </w:rPr>
            </w:pPr>
            <w:r>
              <w:rPr>
                <w:b/>
                <w:bCs/>
                <w:color w:val="auto"/>
                <w:sz w:val="32"/>
                <w:highlight w:val="none"/>
              </w:rPr>
              <w:t>结论与建议</w:t>
            </w:r>
          </w:p>
          <w:p>
            <w:pPr>
              <w:keepNext w:val="0"/>
              <w:keepLines w:val="0"/>
              <w:pageBreakBefore w:val="0"/>
              <w:widowControl w:val="0"/>
              <w:kinsoku/>
              <w:wordWrap/>
              <w:overflowPunct/>
              <w:topLinePunct w:val="0"/>
              <w:autoSpaceDE/>
              <w:autoSpaceDN/>
              <w:bidi w:val="0"/>
              <w:adjustRightInd/>
              <w:snapToGrid/>
              <w:spacing w:line="460" w:lineRule="exact"/>
              <w:ind w:left="0" w:leftChars="0"/>
              <w:textAlignment w:val="auto"/>
              <w:rPr>
                <w:b/>
                <w:color w:val="auto"/>
                <w:szCs w:val="21"/>
                <w:highlight w:val="none"/>
              </w:rPr>
            </w:pPr>
            <w:r>
              <w:rPr>
                <w:b/>
                <w:color w:val="auto"/>
                <w:szCs w:val="21"/>
                <w:highlight w:val="none"/>
              </w:rPr>
              <w:t>一、结论</w:t>
            </w:r>
          </w:p>
          <w:p>
            <w:pPr>
              <w:pStyle w:val="44"/>
              <w:pageBreakBefore w:val="0"/>
              <w:widowControl w:val="0"/>
              <w:kinsoku/>
              <w:wordWrap/>
              <w:overflowPunct/>
              <w:topLinePunct w:val="0"/>
              <w:bidi w:val="0"/>
              <w:snapToGrid/>
              <w:spacing w:line="460" w:lineRule="exact"/>
              <w:ind w:left="0" w:leftChars="0" w:firstLine="480"/>
              <w:textAlignment w:val="auto"/>
              <w:rPr>
                <w:color w:val="auto"/>
                <w:kern w:val="0"/>
                <w:sz w:val="24"/>
                <w:highlight w:val="none"/>
              </w:rPr>
            </w:pPr>
            <w:r>
              <w:rPr>
                <w:color w:val="auto"/>
                <w:kern w:val="0"/>
                <w:sz w:val="24"/>
                <w:highlight w:val="none"/>
              </w:rPr>
              <w:t>1、</w:t>
            </w:r>
            <w:bookmarkStart w:id="1" w:name="_Toc61626655"/>
            <w:bookmarkStart w:id="2" w:name="_Toc61656946"/>
            <w:r>
              <w:rPr>
                <w:color w:val="auto"/>
                <w:kern w:val="0"/>
                <w:sz w:val="24"/>
                <w:highlight w:val="none"/>
              </w:rPr>
              <w:t>项目概况：</w:t>
            </w:r>
          </w:p>
          <w:p>
            <w:pPr>
              <w:pageBreakBefore w:val="0"/>
              <w:widowControl w:val="0"/>
              <w:kinsoku/>
              <w:wordWrap/>
              <w:overflowPunct/>
              <w:topLinePunct w:val="0"/>
              <w:autoSpaceDE w:val="0"/>
              <w:autoSpaceDN w:val="0"/>
              <w:bidi w:val="0"/>
              <w:adjustRightInd w:val="0"/>
              <w:snapToGrid/>
              <w:spacing w:line="460" w:lineRule="exact"/>
              <w:ind w:left="0" w:leftChars="0" w:firstLine="480" w:firstLineChars="200"/>
              <w:textAlignment w:val="auto"/>
              <w:rPr>
                <w:color w:val="auto"/>
                <w:kern w:val="24"/>
                <w:sz w:val="24"/>
                <w:highlight w:val="none"/>
              </w:rPr>
            </w:pPr>
            <w:r>
              <w:rPr>
                <w:color w:val="auto"/>
                <w:kern w:val="24"/>
                <w:sz w:val="24"/>
                <w:highlight w:val="none"/>
              </w:rPr>
              <w:t>（1）项目名</w:t>
            </w:r>
            <w:bookmarkEnd w:id="1"/>
            <w:bookmarkEnd w:id="2"/>
            <w:r>
              <w:rPr>
                <w:color w:val="auto"/>
                <w:kern w:val="24"/>
                <w:sz w:val="24"/>
                <w:highlight w:val="none"/>
              </w:rPr>
              <w:t>称：</w:t>
            </w:r>
            <w:r>
              <w:rPr>
                <w:rFonts w:hint="eastAsia"/>
                <w:color w:val="auto"/>
                <w:sz w:val="24"/>
                <w:highlight w:val="none"/>
                <w:lang w:eastAsia="zh-CN"/>
              </w:rPr>
              <w:t>透平风机叶片激光熔覆修复及配件生产技改升级项目</w:t>
            </w:r>
            <w:r>
              <w:rPr>
                <w:color w:val="auto"/>
                <w:kern w:val="24"/>
                <w:sz w:val="24"/>
                <w:highlight w:val="none"/>
              </w:rPr>
              <w:t>。</w:t>
            </w:r>
          </w:p>
          <w:p>
            <w:pPr>
              <w:pageBreakBefore w:val="0"/>
              <w:widowControl w:val="0"/>
              <w:kinsoku/>
              <w:wordWrap/>
              <w:overflowPunct/>
              <w:topLinePunct w:val="0"/>
              <w:autoSpaceDE w:val="0"/>
              <w:autoSpaceDN w:val="0"/>
              <w:bidi w:val="0"/>
              <w:adjustRightInd w:val="0"/>
              <w:snapToGrid/>
              <w:spacing w:line="460" w:lineRule="exact"/>
              <w:ind w:left="0" w:leftChars="0" w:firstLine="480" w:firstLineChars="200"/>
              <w:textAlignment w:val="auto"/>
              <w:rPr>
                <w:color w:val="auto"/>
                <w:kern w:val="0"/>
                <w:sz w:val="24"/>
                <w:highlight w:val="none"/>
              </w:rPr>
            </w:pPr>
            <w:r>
              <w:rPr>
                <w:color w:val="auto"/>
                <w:kern w:val="0"/>
                <w:sz w:val="24"/>
                <w:highlight w:val="none"/>
              </w:rPr>
              <w:t>（2）建设单位：</w:t>
            </w:r>
            <w:r>
              <w:rPr>
                <w:rFonts w:hint="eastAsia"/>
                <w:color w:val="auto"/>
                <w:sz w:val="24"/>
                <w:highlight w:val="none"/>
                <w:lang w:eastAsia="zh-CN"/>
              </w:rPr>
              <w:t>河北透平风机制造有限公司</w:t>
            </w:r>
            <w:r>
              <w:rPr>
                <w:color w:val="auto"/>
                <w:kern w:val="24"/>
                <w:sz w:val="24"/>
                <w:highlight w:val="none"/>
              </w:rPr>
              <w:t>。</w:t>
            </w:r>
          </w:p>
          <w:p>
            <w:pPr>
              <w:pageBreakBefore w:val="0"/>
              <w:widowControl w:val="0"/>
              <w:kinsoku/>
              <w:wordWrap/>
              <w:overflowPunct/>
              <w:topLinePunct w:val="0"/>
              <w:autoSpaceDE w:val="0"/>
              <w:autoSpaceDN w:val="0"/>
              <w:bidi w:val="0"/>
              <w:adjustRightInd w:val="0"/>
              <w:snapToGrid/>
              <w:spacing w:line="460" w:lineRule="exact"/>
              <w:ind w:left="0" w:leftChars="0" w:firstLine="480" w:firstLineChars="200"/>
              <w:textAlignment w:val="auto"/>
              <w:rPr>
                <w:color w:val="auto"/>
                <w:kern w:val="0"/>
                <w:sz w:val="24"/>
                <w:highlight w:val="none"/>
              </w:rPr>
            </w:pPr>
            <w:r>
              <w:rPr>
                <w:color w:val="auto"/>
                <w:kern w:val="0"/>
                <w:sz w:val="24"/>
                <w:highlight w:val="none"/>
              </w:rPr>
              <w:t>（3）建设性质：</w:t>
            </w:r>
            <w:r>
              <w:rPr>
                <w:rFonts w:hint="eastAsia"/>
                <w:color w:val="auto"/>
                <w:kern w:val="0"/>
                <w:sz w:val="24"/>
                <w:highlight w:val="none"/>
                <w:lang w:eastAsia="zh-CN"/>
              </w:rPr>
              <w:t>技改</w:t>
            </w:r>
            <w:r>
              <w:rPr>
                <w:color w:val="auto"/>
                <w:kern w:val="0"/>
                <w:sz w:val="24"/>
                <w:highlight w:val="none"/>
              </w:rPr>
              <w:t>。</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textAlignment w:val="auto"/>
              <w:rPr>
                <w:rFonts w:hint="eastAsia"/>
                <w:color w:val="auto"/>
                <w:kern w:val="24"/>
                <w:sz w:val="24"/>
                <w:highlight w:val="none"/>
                <w:lang w:eastAsia="zh-CN"/>
              </w:rPr>
            </w:pPr>
            <w:r>
              <w:rPr>
                <w:color w:val="auto"/>
                <w:kern w:val="24"/>
                <w:sz w:val="24"/>
                <w:highlight w:val="none"/>
              </w:rPr>
              <w:t>（4）建设内容及规模：</w:t>
            </w:r>
            <w:r>
              <w:rPr>
                <w:rFonts w:hint="eastAsia"/>
                <w:color w:val="auto"/>
                <w:sz w:val="24"/>
                <w:szCs w:val="28"/>
                <w:highlight w:val="none"/>
              </w:rPr>
              <w:t>总占地面积13161.3m²（合19.74亩），项目利用原有厂房对生产线进行技改升级。主要新增数控加工中心、车床、铣床、钻床、锯床、磨床、自制抛光机、螺杆空压机、</w:t>
            </w:r>
            <w:r>
              <w:rPr>
                <w:rFonts w:hint="eastAsia"/>
                <w:color w:val="auto"/>
                <w:sz w:val="24"/>
                <w:szCs w:val="28"/>
                <w:highlight w:val="none"/>
                <w:lang w:eastAsia="zh-CN"/>
              </w:rPr>
              <w:t>镗</w:t>
            </w:r>
            <w:r>
              <w:rPr>
                <w:rFonts w:hint="eastAsia"/>
                <w:color w:val="auto"/>
                <w:sz w:val="24"/>
                <w:szCs w:val="28"/>
                <w:highlight w:val="none"/>
              </w:rPr>
              <w:t>床、数控火焰切割机、卷板机、箱</w:t>
            </w:r>
            <w:r>
              <w:rPr>
                <w:rFonts w:hint="eastAsia"/>
                <w:color w:val="auto"/>
                <w:sz w:val="24"/>
                <w:szCs w:val="28"/>
                <w:highlight w:val="none"/>
                <w:lang w:eastAsia="zh-CN"/>
              </w:rPr>
              <w:t>型</w:t>
            </w:r>
            <w:r>
              <w:rPr>
                <w:rFonts w:hint="eastAsia"/>
                <w:color w:val="auto"/>
                <w:sz w:val="24"/>
                <w:szCs w:val="28"/>
                <w:highlight w:val="none"/>
              </w:rPr>
              <w:t>电阻炉、自制圆形电阻炉等其他辅助生产设备共26台（套）。项目建成后，达到年加工叶片80台（套）、风机备件130 台（套），年检修风机100台（套）。</w:t>
            </w:r>
            <w:r>
              <w:rPr>
                <w:rFonts w:hint="eastAsia"/>
                <w:color w:val="auto"/>
                <w:sz w:val="24"/>
                <w:szCs w:val="28"/>
                <w:highlight w:val="none"/>
                <w:lang w:val="en-US" w:eastAsia="zh-CN"/>
              </w:rPr>
              <w:t>项目建成后，产能不变。</w:t>
            </w:r>
          </w:p>
          <w:p>
            <w:pPr>
              <w:pStyle w:val="44"/>
              <w:pageBreakBefore w:val="0"/>
              <w:widowControl w:val="0"/>
              <w:kinsoku/>
              <w:wordWrap/>
              <w:overflowPunct/>
              <w:topLinePunct w:val="0"/>
              <w:bidi w:val="0"/>
              <w:snapToGrid/>
              <w:spacing w:line="460" w:lineRule="exact"/>
              <w:ind w:left="0" w:leftChars="0" w:firstLine="480"/>
              <w:textAlignment w:val="auto"/>
              <w:rPr>
                <w:color w:val="auto"/>
                <w:kern w:val="0"/>
                <w:sz w:val="24"/>
                <w:highlight w:val="none"/>
              </w:rPr>
            </w:pPr>
            <w:r>
              <w:rPr>
                <w:color w:val="auto"/>
                <w:kern w:val="0"/>
                <w:sz w:val="24"/>
                <w:highlight w:val="none"/>
              </w:rPr>
              <w:t>（5）工程投资：项目总投资</w:t>
            </w:r>
            <w:r>
              <w:rPr>
                <w:rFonts w:hint="eastAsia"/>
                <w:color w:val="auto"/>
                <w:kern w:val="24"/>
                <w:sz w:val="24"/>
                <w:highlight w:val="none"/>
                <w:lang w:val="en-US" w:eastAsia="zh-CN"/>
              </w:rPr>
              <w:t>995.68</w:t>
            </w:r>
            <w:r>
              <w:rPr>
                <w:color w:val="auto"/>
                <w:kern w:val="0"/>
                <w:sz w:val="24"/>
                <w:highlight w:val="none"/>
              </w:rPr>
              <w:t>万元，环保投资为</w:t>
            </w:r>
            <w:r>
              <w:rPr>
                <w:rFonts w:hint="eastAsia"/>
                <w:color w:val="auto"/>
                <w:kern w:val="0"/>
                <w:sz w:val="24"/>
                <w:highlight w:val="none"/>
                <w:lang w:val="en-US" w:eastAsia="zh-CN"/>
              </w:rPr>
              <w:t>30</w:t>
            </w:r>
            <w:r>
              <w:rPr>
                <w:color w:val="auto"/>
                <w:kern w:val="0"/>
                <w:sz w:val="24"/>
                <w:highlight w:val="none"/>
              </w:rPr>
              <w:t>万元，占总投资的</w:t>
            </w:r>
            <w:r>
              <w:rPr>
                <w:rFonts w:hint="eastAsia"/>
                <w:color w:val="auto"/>
                <w:kern w:val="0"/>
                <w:sz w:val="24"/>
                <w:highlight w:val="none"/>
                <w:lang w:val="en-US" w:eastAsia="zh-CN"/>
              </w:rPr>
              <w:t>3.013</w:t>
            </w:r>
            <w:r>
              <w:rPr>
                <w:color w:val="auto"/>
                <w:kern w:val="0"/>
                <w:sz w:val="24"/>
                <w:highlight w:val="none"/>
              </w:rPr>
              <w:t>%。</w:t>
            </w:r>
          </w:p>
          <w:p>
            <w:pPr>
              <w:pageBreakBefore w:val="0"/>
              <w:widowControl w:val="0"/>
              <w:kinsoku/>
              <w:wordWrap/>
              <w:overflowPunct/>
              <w:topLinePunct w:val="0"/>
              <w:bidi w:val="0"/>
              <w:snapToGrid/>
              <w:spacing w:line="460" w:lineRule="exact"/>
              <w:ind w:left="0" w:leftChars="0" w:firstLine="480" w:firstLineChars="200"/>
              <w:textAlignment w:val="auto"/>
              <w:rPr>
                <w:color w:val="auto"/>
                <w:kern w:val="0"/>
                <w:sz w:val="24"/>
                <w:highlight w:val="none"/>
              </w:rPr>
            </w:pPr>
            <w:r>
              <w:rPr>
                <w:color w:val="auto"/>
                <w:kern w:val="0"/>
                <w:sz w:val="24"/>
                <w:highlight w:val="none"/>
              </w:rPr>
              <w:t>2、符合国家产业政策</w:t>
            </w:r>
          </w:p>
          <w:p>
            <w:pPr>
              <w:spacing w:line="360" w:lineRule="auto"/>
              <w:ind w:firstLine="480" w:firstLineChars="200"/>
              <w:rPr>
                <w:color w:val="auto"/>
                <w:sz w:val="24"/>
                <w:szCs w:val="24"/>
                <w:highlight w:val="none"/>
              </w:rPr>
            </w:pPr>
            <w:r>
              <w:rPr>
                <w:color w:val="auto"/>
                <w:sz w:val="24"/>
                <w:szCs w:val="24"/>
                <w:highlight w:val="none"/>
              </w:rPr>
              <w:t>本项目属于</w:t>
            </w:r>
            <w:r>
              <w:rPr>
                <w:rFonts w:hint="eastAsia"/>
                <w:color w:val="auto"/>
                <w:sz w:val="24"/>
                <w:szCs w:val="24"/>
                <w:highlight w:val="none"/>
                <w:lang w:eastAsia="zh-CN"/>
              </w:rPr>
              <w:t>金属制品业</w:t>
            </w:r>
            <w:r>
              <w:rPr>
                <w:color w:val="auto"/>
                <w:sz w:val="24"/>
                <w:szCs w:val="24"/>
                <w:highlight w:val="none"/>
              </w:rPr>
              <w:t>，根据中华人民共和国发展和改革委员会</w:t>
            </w:r>
            <w:r>
              <w:rPr>
                <w:rFonts w:hint="eastAsia"/>
                <w:color w:val="auto"/>
                <w:sz w:val="24"/>
                <w:szCs w:val="24"/>
                <w:highlight w:val="none"/>
              </w:rPr>
              <w:t>《产业结构调整指导目录（201</w:t>
            </w:r>
            <w:r>
              <w:rPr>
                <w:rFonts w:hint="eastAsia"/>
                <w:color w:val="auto"/>
                <w:sz w:val="24"/>
                <w:szCs w:val="24"/>
                <w:highlight w:val="none"/>
                <w:lang w:val="en-US" w:eastAsia="zh-CN"/>
              </w:rPr>
              <w:t>9</w:t>
            </w:r>
            <w:r>
              <w:rPr>
                <w:rFonts w:hint="eastAsia"/>
                <w:color w:val="auto"/>
                <w:sz w:val="24"/>
                <w:szCs w:val="24"/>
                <w:highlight w:val="none"/>
              </w:rPr>
              <w:t>年本）》</w:t>
            </w:r>
            <w:r>
              <w:rPr>
                <w:color w:val="auto"/>
                <w:sz w:val="24"/>
                <w:szCs w:val="24"/>
                <w:highlight w:val="none"/>
              </w:rPr>
              <w:t>中的要求，该项目</w:t>
            </w:r>
            <w:r>
              <w:rPr>
                <w:rFonts w:hint="eastAsia"/>
                <w:color w:val="auto"/>
                <w:sz w:val="24"/>
                <w:szCs w:val="24"/>
                <w:highlight w:val="none"/>
                <w:lang w:eastAsia="zh-CN"/>
              </w:rPr>
              <w:t>不在鼓励类、限制类、淘汰类之列，为允许类</w:t>
            </w:r>
            <w:r>
              <w:rPr>
                <w:color w:val="auto"/>
                <w:sz w:val="24"/>
                <w:szCs w:val="24"/>
                <w:highlight w:val="none"/>
              </w:rPr>
              <w:t>，</w:t>
            </w:r>
            <w:r>
              <w:rPr>
                <w:rFonts w:hint="eastAsia"/>
                <w:color w:val="auto"/>
                <w:sz w:val="24"/>
                <w:szCs w:val="24"/>
                <w:highlight w:val="none"/>
                <w:lang w:eastAsia="zh-CN"/>
              </w:rPr>
              <w:t>且</w:t>
            </w:r>
            <w:r>
              <w:rPr>
                <w:rFonts w:hint="eastAsia"/>
                <w:color w:val="auto"/>
                <w:sz w:val="24"/>
                <w:szCs w:val="24"/>
                <w:highlight w:val="none"/>
              </w:rPr>
              <w:t>不属于</w:t>
            </w:r>
            <w:r>
              <w:rPr>
                <w:color w:val="auto"/>
                <w:sz w:val="24"/>
                <w:szCs w:val="24"/>
                <w:highlight w:val="none"/>
              </w:rPr>
              <w:t>《河北省新增限制和淘汰类产业目录 (2015年版)》</w:t>
            </w:r>
            <w:r>
              <w:rPr>
                <w:rFonts w:hint="eastAsia"/>
                <w:color w:val="auto"/>
                <w:sz w:val="24"/>
                <w:szCs w:val="24"/>
                <w:highlight w:val="none"/>
              </w:rPr>
              <w:t>中新增的限值和淘汰类，</w:t>
            </w:r>
            <w:r>
              <w:rPr>
                <w:color w:val="auto"/>
                <w:sz w:val="24"/>
                <w:szCs w:val="24"/>
                <w:highlight w:val="none"/>
              </w:rPr>
              <w:t>工艺、设备、规模均符合国家产业政策。</w:t>
            </w:r>
          </w:p>
          <w:p>
            <w:pPr>
              <w:pageBreakBefore w:val="0"/>
              <w:widowControl w:val="0"/>
              <w:kinsoku/>
              <w:wordWrap/>
              <w:overflowPunct/>
              <w:topLinePunct w:val="0"/>
              <w:bidi w:val="0"/>
              <w:snapToGrid/>
              <w:spacing w:line="460" w:lineRule="exact"/>
              <w:ind w:left="0" w:leftChars="0" w:firstLine="480" w:firstLineChars="200"/>
              <w:textAlignment w:val="auto"/>
              <w:rPr>
                <w:color w:val="auto"/>
                <w:sz w:val="24"/>
                <w:szCs w:val="24"/>
                <w:highlight w:val="none"/>
              </w:rPr>
            </w:pPr>
            <w:r>
              <w:rPr>
                <w:color w:val="auto"/>
                <w:sz w:val="24"/>
                <w:szCs w:val="24"/>
                <w:highlight w:val="none"/>
              </w:rPr>
              <w:t>本项目已经由</w:t>
            </w:r>
            <w:r>
              <w:rPr>
                <w:rFonts w:hint="eastAsia"/>
                <w:color w:val="auto"/>
                <w:kern w:val="24"/>
                <w:sz w:val="24"/>
                <w:szCs w:val="24"/>
                <w:highlight w:val="none"/>
                <w:lang w:eastAsia="zh-CN"/>
              </w:rPr>
              <w:t>河北迁安经济开发区行政审批局</w:t>
            </w:r>
            <w:r>
              <w:rPr>
                <w:color w:val="auto"/>
                <w:sz w:val="24"/>
                <w:szCs w:val="24"/>
                <w:highlight w:val="none"/>
              </w:rPr>
              <w:t>备案，备案证号为：</w:t>
            </w:r>
            <w:r>
              <w:rPr>
                <w:rFonts w:hint="eastAsia"/>
                <w:color w:val="auto"/>
                <w:kern w:val="24"/>
                <w:sz w:val="24"/>
                <w:szCs w:val="24"/>
                <w:highlight w:val="none"/>
                <w:lang w:eastAsia="zh-CN"/>
              </w:rPr>
              <w:t>迁经开行审投资备字[2020]29号</w:t>
            </w:r>
            <w:r>
              <w:rPr>
                <w:color w:val="auto"/>
                <w:sz w:val="24"/>
                <w:szCs w:val="24"/>
                <w:highlight w:val="none"/>
              </w:rPr>
              <w:t>。综上所述，本项目符合国家产业政策。</w:t>
            </w:r>
          </w:p>
          <w:p>
            <w:pPr>
              <w:pageBreakBefore w:val="0"/>
              <w:widowControl w:val="0"/>
              <w:kinsoku/>
              <w:wordWrap/>
              <w:overflowPunct/>
              <w:topLinePunct w:val="0"/>
              <w:bidi w:val="0"/>
              <w:snapToGrid/>
              <w:spacing w:line="460" w:lineRule="exact"/>
              <w:ind w:left="0" w:leftChars="0" w:firstLine="480" w:firstLineChars="200"/>
              <w:textAlignment w:val="auto"/>
              <w:rPr>
                <w:color w:val="auto"/>
                <w:kern w:val="0"/>
                <w:sz w:val="24"/>
                <w:highlight w:val="none"/>
              </w:rPr>
            </w:pPr>
            <w:r>
              <w:rPr>
                <w:color w:val="auto"/>
                <w:kern w:val="0"/>
                <w:sz w:val="24"/>
                <w:highlight w:val="none"/>
              </w:rPr>
              <w:t>3、环境影响分析结论</w:t>
            </w:r>
          </w:p>
          <w:p>
            <w:pPr>
              <w:pageBreakBefore w:val="0"/>
              <w:widowControl w:val="0"/>
              <w:kinsoku/>
              <w:wordWrap/>
              <w:overflowPunct/>
              <w:topLinePunct w:val="0"/>
              <w:bidi w:val="0"/>
              <w:snapToGrid/>
              <w:spacing w:line="460" w:lineRule="exact"/>
              <w:ind w:left="0" w:leftChars="0" w:firstLine="480" w:firstLineChars="200"/>
              <w:textAlignment w:val="auto"/>
              <w:rPr>
                <w:color w:val="auto"/>
                <w:sz w:val="24"/>
                <w:highlight w:val="none"/>
              </w:rPr>
            </w:pPr>
            <w:r>
              <w:rPr>
                <w:color w:val="auto"/>
                <w:kern w:val="0"/>
                <w:sz w:val="24"/>
                <w:highlight w:val="none"/>
              </w:rPr>
              <w:t>（1）</w:t>
            </w:r>
            <w:r>
              <w:rPr>
                <w:color w:val="auto"/>
                <w:sz w:val="24"/>
                <w:highlight w:val="none"/>
              </w:rPr>
              <w:t>大气环境影响</w:t>
            </w:r>
          </w:p>
          <w:p>
            <w:pPr>
              <w:spacing w:line="500" w:lineRule="exact"/>
              <w:ind w:firstLine="480" w:firstLineChars="200"/>
              <w:jc w:val="left"/>
              <w:rPr>
                <w:color w:val="auto"/>
                <w:sz w:val="24"/>
                <w:highlight w:val="none"/>
              </w:rPr>
            </w:pPr>
            <w:r>
              <w:rPr>
                <w:color w:val="auto"/>
                <w:sz w:val="24"/>
                <w:highlight w:val="none"/>
              </w:rPr>
              <w:t>本</w:t>
            </w:r>
            <w:r>
              <w:rPr>
                <w:rFonts w:hint="eastAsia"/>
                <w:color w:val="auto"/>
                <w:sz w:val="24"/>
                <w:highlight w:val="none"/>
                <w:lang w:eastAsia="zh-CN"/>
              </w:rPr>
              <w:t>次技改</w:t>
            </w:r>
            <w:r>
              <w:rPr>
                <w:color w:val="auto"/>
                <w:sz w:val="24"/>
                <w:highlight w:val="none"/>
              </w:rPr>
              <w:t>项目废气为</w:t>
            </w:r>
            <w:r>
              <w:rPr>
                <w:color w:val="auto"/>
                <w:spacing w:val="8"/>
                <w:kern w:val="24"/>
                <w:sz w:val="24"/>
                <w:highlight w:val="none"/>
                <w:lang w:val="zh-CN"/>
              </w:rPr>
              <w:t>主要为</w:t>
            </w:r>
            <w:r>
              <w:rPr>
                <w:rFonts w:hint="eastAsia"/>
                <w:color w:val="auto"/>
                <w:spacing w:val="8"/>
                <w:kern w:val="24"/>
                <w:sz w:val="24"/>
                <w:highlight w:val="none"/>
                <w:lang w:val="zh-CN"/>
              </w:rPr>
              <w:t>数控火焰切割机废气、自制抛光机废气</w:t>
            </w:r>
            <w:r>
              <w:rPr>
                <w:color w:val="auto"/>
                <w:sz w:val="24"/>
                <w:highlight w:val="none"/>
              </w:rPr>
              <w:t>。</w:t>
            </w:r>
          </w:p>
          <w:p>
            <w:pPr>
              <w:pStyle w:val="22"/>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Times New Roman" w:hAnsi="Times New Roman" w:cs="Times New Roman"/>
                <w:color w:val="auto"/>
                <w:sz w:val="24"/>
                <w:szCs w:val="22"/>
                <w:highlight w:val="none"/>
                <w:lang w:eastAsia="zh-CN"/>
              </w:rPr>
            </w:pPr>
            <w:r>
              <w:rPr>
                <w:rFonts w:hint="eastAsia"/>
                <w:color w:val="auto"/>
                <w:spacing w:val="8"/>
                <w:kern w:val="24"/>
                <w:sz w:val="24"/>
                <w:highlight w:val="none"/>
                <w:lang w:val="zh-CN"/>
              </w:rPr>
              <w:t>数控火焰切割机</w:t>
            </w:r>
            <w:r>
              <w:rPr>
                <w:rFonts w:hint="eastAsia"/>
                <w:color w:val="auto"/>
                <w:spacing w:val="8"/>
                <w:kern w:val="24"/>
                <w:sz w:val="24"/>
                <w:highlight w:val="none"/>
                <w:lang w:val="en-US" w:eastAsia="zh-CN"/>
              </w:rPr>
              <w:t>在操作平台两侧分别设置3个吸风口，收集后的废气引入1套脉冲布袋除尘器处理后，经1根15m高排气筒排放。</w:t>
            </w:r>
            <w:r>
              <w:rPr>
                <w:rFonts w:ascii="Times New Roman" w:hAnsi="Times New Roman" w:eastAsia="宋体"/>
                <w:bCs/>
                <w:color w:val="auto"/>
                <w:sz w:val="24"/>
                <w:highlight w:val="none"/>
              </w:rPr>
              <w:t>本项目</w:t>
            </w:r>
            <w:r>
              <w:rPr>
                <w:rFonts w:hint="eastAsia" w:ascii="Times New Roman" w:hAnsi="Times New Roman" w:eastAsia="宋体" w:cs="Times New Roman"/>
                <w:color w:val="auto"/>
                <w:kern w:val="2"/>
                <w:sz w:val="24"/>
                <w:szCs w:val="24"/>
                <w:highlight w:val="none"/>
                <w:lang w:val="en-US" w:eastAsia="zh-CN" w:bidi="ar-SA"/>
              </w:rPr>
              <w:t>自制抛光机为砂轮机表面加装棉质材料，</w:t>
            </w:r>
            <w:r>
              <w:rPr>
                <w:rFonts w:hint="eastAsia" w:ascii="Times New Roman" w:hAnsi="Times New Roman" w:eastAsia="宋体"/>
                <w:color w:val="auto"/>
                <w:spacing w:val="8"/>
                <w:kern w:val="24"/>
                <w:sz w:val="24"/>
                <w:highlight w:val="none"/>
                <w:lang w:val="zh-CN"/>
              </w:rPr>
              <w:t>自制抛光机</w:t>
            </w:r>
            <w:r>
              <w:rPr>
                <w:rFonts w:hint="eastAsia"/>
                <w:color w:val="auto"/>
                <w:spacing w:val="8"/>
                <w:kern w:val="24"/>
                <w:sz w:val="24"/>
                <w:highlight w:val="none"/>
                <w:lang w:val="zh-CN"/>
              </w:rPr>
              <w:t>三面围挡，废气</w:t>
            </w:r>
            <w:r>
              <w:rPr>
                <w:rFonts w:hint="eastAsia"/>
                <w:color w:val="auto"/>
                <w:spacing w:val="8"/>
                <w:kern w:val="24"/>
                <w:sz w:val="24"/>
                <w:highlight w:val="none"/>
                <w:lang w:val="en-US" w:eastAsia="zh-CN"/>
              </w:rPr>
              <w:t>1套脉冲布袋除尘器处理后，经1根15m高排气筒排放。</w:t>
            </w:r>
            <w:r>
              <w:rPr>
                <w:rFonts w:ascii="Times New Roman" w:hAnsi="Times New Roman" w:eastAsia="宋体"/>
                <w:bCs/>
                <w:color w:val="auto"/>
                <w:sz w:val="24"/>
                <w:highlight w:val="none"/>
              </w:rPr>
              <w:t>未沉降的粉尘在车间内无组织排放</w:t>
            </w:r>
            <w:r>
              <w:rPr>
                <w:rFonts w:hint="eastAsia"/>
                <w:bCs/>
                <w:color w:val="auto"/>
                <w:sz w:val="24"/>
                <w:highlight w:val="none"/>
                <w:lang w:eastAsia="zh-CN"/>
              </w:rPr>
              <w:t>。</w:t>
            </w:r>
          </w:p>
          <w:p>
            <w:pPr>
              <w:pStyle w:val="22"/>
              <w:keepNext w:val="0"/>
              <w:keepLines w:val="0"/>
              <w:pageBreakBefore w:val="0"/>
              <w:widowControl w:val="0"/>
              <w:kinsoku/>
              <w:wordWrap/>
              <w:overflowPunct/>
              <w:topLinePunct w:val="0"/>
              <w:autoSpaceDE/>
              <w:autoSpaceDN/>
              <w:bidi w:val="0"/>
              <w:adjustRightInd/>
              <w:snapToGrid/>
              <w:spacing w:line="360" w:lineRule="auto"/>
              <w:ind w:left="0" w:right="0" w:firstLine="556"/>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2"/>
                <w:highlight w:val="none"/>
                <w:lang w:eastAsia="zh-CN"/>
              </w:rPr>
              <w:t>有组织废气中的颗粒物排放浓度参照满足</w:t>
            </w:r>
            <w:r>
              <w:rPr>
                <w:rFonts w:hint="default" w:ascii="Times New Roman" w:hAnsi="Times New Roman" w:cs="Times New Roman"/>
                <w:color w:val="auto"/>
                <w:sz w:val="24"/>
                <w:highlight w:val="none"/>
              </w:rPr>
              <w:t>《钢铁工业大气污染物超低排放标准》(DB13/2169-2018)中表1轧钢工序（热处理炉、拉矫、精整、抛丸、修磨、焊接机及其他生产设施）颗粒物排放限值要求</w:t>
            </w:r>
            <w:r>
              <w:rPr>
                <w:rFonts w:hint="eastAsia" w:cs="Times New Roman"/>
                <w:color w:val="auto"/>
                <w:sz w:val="24"/>
                <w:highlight w:val="none"/>
                <w:lang w:eastAsia="zh-CN"/>
              </w:rPr>
              <w:t>，</w:t>
            </w:r>
            <w:r>
              <w:rPr>
                <w:rFonts w:hint="eastAsia"/>
                <w:color w:val="auto"/>
                <w:sz w:val="24"/>
                <w:highlight w:val="none"/>
                <w:lang w:eastAsia="zh-CN"/>
              </w:rPr>
              <w:t>≤</w:t>
            </w:r>
            <w:r>
              <w:rPr>
                <w:rFonts w:hint="default" w:ascii="Times New Roman" w:hAnsi="Times New Roman" w:cs="Times New Roman"/>
                <w:color w:val="auto"/>
                <w:sz w:val="24"/>
                <w:highlight w:val="none"/>
              </w:rPr>
              <w:t>10mg/m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r>
              <w:rPr>
                <w:rFonts w:hint="eastAsia" w:cs="Times New Roman"/>
                <w:bCs/>
                <w:color w:val="auto"/>
                <w:sz w:val="24"/>
                <w:highlight w:val="none"/>
                <w:lang w:val="en-US" w:eastAsia="zh-CN"/>
              </w:rPr>
              <w:t>厂界无组织颗粒物满足</w:t>
            </w:r>
            <w:r>
              <w:rPr>
                <w:color w:val="auto"/>
                <w:sz w:val="24"/>
                <w:highlight w:val="none"/>
              </w:rPr>
              <w:t>《大气污染物综合排放标准》（GB16297-1996）</w:t>
            </w:r>
            <w:r>
              <w:rPr>
                <w:rFonts w:hint="eastAsia"/>
                <w:color w:val="auto"/>
                <w:sz w:val="24"/>
                <w:highlight w:val="none"/>
              </w:rPr>
              <w:t>表2</w:t>
            </w:r>
            <w:r>
              <w:rPr>
                <w:color w:val="auto"/>
                <w:sz w:val="24"/>
                <w:highlight w:val="none"/>
              </w:rPr>
              <w:t>无组织排放监控浓度限值（</w:t>
            </w:r>
            <w:r>
              <w:rPr>
                <w:rFonts w:hint="eastAsia"/>
                <w:color w:val="auto"/>
                <w:sz w:val="24"/>
                <w:highlight w:val="none"/>
                <w:lang w:eastAsia="zh-CN"/>
              </w:rPr>
              <w:t>≤</w:t>
            </w:r>
            <w:r>
              <w:rPr>
                <w:color w:val="auto"/>
                <w:sz w:val="24"/>
                <w:highlight w:val="none"/>
              </w:rPr>
              <w:t>1.0mg/m</w:t>
            </w:r>
            <w:r>
              <w:rPr>
                <w:color w:val="auto"/>
                <w:sz w:val="24"/>
                <w:highlight w:val="none"/>
                <w:vertAlign w:val="superscript"/>
              </w:rPr>
              <w:t>3</w:t>
            </w:r>
            <w:r>
              <w:rPr>
                <w:color w:val="auto"/>
                <w:sz w:val="24"/>
                <w:highlight w:val="none"/>
              </w:rPr>
              <w:t>）</w:t>
            </w:r>
            <w:r>
              <w:rPr>
                <w:rFonts w:hint="eastAsia"/>
                <w:color w:val="auto"/>
                <w:sz w:val="24"/>
                <w:highlight w:val="none"/>
                <w:lang w:eastAsia="zh-CN"/>
              </w:rPr>
              <w:t>要求。</w:t>
            </w:r>
          </w:p>
          <w:p>
            <w:pPr>
              <w:pageBreakBefore w:val="0"/>
              <w:widowControl w:val="0"/>
              <w:kinsoku/>
              <w:wordWrap/>
              <w:overflowPunct/>
              <w:topLinePunct w:val="0"/>
              <w:bidi w:val="0"/>
              <w:snapToGrid/>
              <w:spacing w:line="460" w:lineRule="exact"/>
              <w:ind w:left="0" w:leftChars="0" w:firstLine="480" w:firstLineChars="200"/>
              <w:textAlignment w:val="auto"/>
              <w:rPr>
                <w:color w:val="auto"/>
                <w:sz w:val="24"/>
                <w:highlight w:val="none"/>
              </w:rPr>
            </w:pPr>
            <w:r>
              <w:rPr>
                <w:color w:val="auto"/>
                <w:sz w:val="24"/>
                <w:highlight w:val="none"/>
              </w:rPr>
              <w:t>本项目污染物为颗粒物。根据大气预测结果，本项目</w:t>
            </w:r>
            <w:r>
              <w:rPr>
                <w:rFonts w:hint="eastAsia"/>
                <w:color w:val="auto"/>
                <w:sz w:val="24"/>
                <w:highlight w:val="none"/>
              </w:rPr>
              <w:t>颗粒物</w:t>
            </w:r>
            <w:r>
              <w:rPr>
                <w:color w:val="auto"/>
                <w:sz w:val="24"/>
                <w:highlight w:val="none"/>
              </w:rPr>
              <w:t>的短期浓度贡献值最大浓度占标率均小于100%。本项目污染物排放较少，对环境冲击较小，本项目环境影响可接受。</w:t>
            </w:r>
          </w:p>
          <w:p>
            <w:pPr>
              <w:pageBreakBefore w:val="0"/>
              <w:widowControl w:val="0"/>
              <w:kinsoku/>
              <w:wordWrap/>
              <w:overflowPunct/>
              <w:topLinePunct w:val="0"/>
              <w:bidi w:val="0"/>
              <w:snapToGrid/>
              <w:spacing w:line="460" w:lineRule="exact"/>
              <w:ind w:left="0" w:leftChars="0" w:firstLine="480" w:firstLineChars="200"/>
              <w:textAlignment w:val="auto"/>
              <w:rPr>
                <w:bCs/>
                <w:color w:val="auto"/>
                <w:sz w:val="24"/>
                <w:highlight w:val="none"/>
              </w:rPr>
            </w:pPr>
            <w:r>
              <w:rPr>
                <w:bCs/>
                <w:color w:val="auto"/>
                <w:sz w:val="24"/>
                <w:highlight w:val="none"/>
              </w:rPr>
              <w:t>因此，本项目产生的废气不会对周围环境产生明显影响。</w:t>
            </w:r>
          </w:p>
          <w:p>
            <w:pPr>
              <w:pageBreakBefore w:val="0"/>
              <w:widowControl w:val="0"/>
              <w:kinsoku/>
              <w:wordWrap/>
              <w:overflowPunct/>
              <w:topLinePunct w:val="0"/>
              <w:bidi w:val="0"/>
              <w:snapToGrid/>
              <w:spacing w:line="460" w:lineRule="exact"/>
              <w:ind w:left="0" w:leftChars="0" w:firstLine="480" w:firstLineChars="200"/>
              <w:textAlignment w:val="auto"/>
              <w:rPr>
                <w:bCs/>
                <w:color w:val="auto"/>
                <w:sz w:val="24"/>
                <w:highlight w:val="none"/>
              </w:rPr>
            </w:pPr>
            <w:r>
              <w:rPr>
                <w:color w:val="auto"/>
                <w:sz w:val="24"/>
                <w:highlight w:val="none"/>
              </w:rPr>
              <w:t>（2）</w:t>
            </w:r>
            <w:r>
              <w:rPr>
                <w:color w:val="auto"/>
                <w:kern w:val="0"/>
                <w:sz w:val="24"/>
                <w:highlight w:val="none"/>
              </w:rPr>
              <w:t>水环境</w:t>
            </w:r>
          </w:p>
          <w:p>
            <w:pPr>
              <w:tabs>
                <w:tab w:val="left" w:pos="0"/>
              </w:tabs>
              <w:autoSpaceDE w:val="0"/>
              <w:autoSpaceDN w:val="0"/>
              <w:spacing w:line="480" w:lineRule="exact"/>
              <w:ind w:left="6" w:leftChars="3" w:firstLine="420" w:firstLineChars="200"/>
              <w:jc w:val="left"/>
              <w:rPr>
                <w:color w:val="auto"/>
                <w:sz w:val="24"/>
                <w:highlight w:val="none"/>
              </w:rPr>
            </w:pPr>
            <w:r>
              <w:rPr>
                <w:color w:val="auto"/>
                <w:highlight w:val="none"/>
              </w:rPr>
              <w:fldChar w:fldCharType="begin"/>
            </w:r>
            <w:r>
              <w:rPr>
                <w:color w:val="auto"/>
                <w:sz w:val="24"/>
                <w:highlight w:val="none"/>
              </w:rPr>
              <w:instrText xml:space="preserve"> = 1 \* GB3 </w:instrText>
            </w:r>
            <w:r>
              <w:rPr>
                <w:color w:val="auto"/>
                <w:sz w:val="24"/>
                <w:highlight w:val="none"/>
              </w:rPr>
              <w:fldChar w:fldCharType="separate"/>
            </w:r>
            <w:r>
              <w:rPr>
                <w:color w:val="auto"/>
                <w:sz w:val="24"/>
                <w:highlight w:val="none"/>
              </w:rPr>
              <w:t>①</w:t>
            </w:r>
            <w:r>
              <w:rPr>
                <w:color w:val="auto"/>
                <w:sz w:val="24"/>
                <w:highlight w:val="none"/>
              </w:rPr>
              <w:fldChar w:fldCharType="end"/>
            </w:r>
            <w:r>
              <w:rPr>
                <w:color w:val="auto"/>
                <w:sz w:val="24"/>
                <w:highlight w:val="none"/>
              </w:rPr>
              <w:t>地表水：</w:t>
            </w:r>
            <w:r>
              <w:rPr>
                <w:color w:val="auto"/>
                <w:spacing w:val="2"/>
                <w:kern w:val="0"/>
                <w:sz w:val="24"/>
                <w:highlight w:val="none"/>
              </w:rPr>
              <w:t>本</w:t>
            </w:r>
            <w:r>
              <w:rPr>
                <w:rFonts w:hint="eastAsia"/>
                <w:color w:val="auto"/>
                <w:spacing w:val="2"/>
                <w:kern w:val="0"/>
                <w:sz w:val="24"/>
                <w:highlight w:val="none"/>
                <w:lang w:eastAsia="zh-CN"/>
              </w:rPr>
              <w:t>次技改</w:t>
            </w:r>
            <w:r>
              <w:rPr>
                <w:color w:val="auto"/>
                <w:spacing w:val="2"/>
                <w:kern w:val="0"/>
                <w:sz w:val="24"/>
                <w:highlight w:val="none"/>
              </w:rPr>
              <w:t>项目</w:t>
            </w:r>
            <w:r>
              <w:rPr>
                <w:rFonts w:hint="eastAsia"/>
                <w:color w:val="auto"/>
                <w:spacing w:val="2"/>
                <w:kern w:val="0"/>
                <w:sz w:val="24"/>
                <w:highlight w:val="none"/>
                <w:lang w:eastAsia="zh-CN"/>
              </w:rPr>
              <w:t>无新增劳动定员，无新增生活污水；生产用水仅为切削液配置用水，切削液循环使用，定期清理，作为危险废物处理。技改项目无新增废水排放。</w:t>
            </w:r>
          </w:p>
          <w:p>
            <w:pPr>
              <w:spacing w:line="500" w:lineRule="exact"/>
              <w:ind w:firstLine="480"/>
              <w:jc w:val="left"/>
              <w:rPr>
                <w:color w:val="auto"/>
                <w:sz w:val="24"/>
                <w:highlight w:val="none"/>
              </w:rPr>
            </w:pPr>
            <w:r>
              <w:rPr>
                <w:color w:val="auto"/>
                <w:sz w:val="24"/>
                <w:highlight w:val="none"/>
              </w:rPr>
              <w:t>综上，本</w:t>
            </w:r>
            <w:r>
              <w:rPr>
                <w:rFonts w:hint="eastAsia"/>
                <w:color w:val="auto"/>
                <w:sz w:val="24"/>
                <w:highlight w:val="none"/>
                <w:lang w:eastAsia="zh-CN"/>
              </w:rPr>
              <w:t>次技改</w:t>
            </w:r>
            <w:r>
              <w:rPr>
                <w:color w:val="auto"/>
                <w:sz w:val="24"/>
                <w:highlight w:val="none"/>
              </w:rPr>
              <w:t>项目无</w:t>
            </w:r>
            <w:r>
              <w:rPr>
                <w:rFonts w:hint="eastAsia"/>
                <w:color w:val="auto"/>
                <w:sz w:val="24"/>
                <w:highlight w:val="none"/>
                <w:lang w:eastAsia="zh-CN"/>
              </w:rPr>
              <w:t>新增</w:t>
            </w:r>
            <w:r>
              <w:rPr>
                <w:color w:val="auto"/>
                <w:sz w:val="24"/>
                <w:highlight w:val="none"/>
              </w:rPr>
              <w:t>废水外排</w:t>
            </w:r>
            <w:r>
              <w:rPr>
                <w:rFonts w:hint="eastAsia"/>
                <w:color w:val="auto"/>
                <w:sz w:val="24"/>
                <w:highlight w:val="none"/>
              </w:rPr>
              <w:t>，不会对地表水造成影响</w:t>
            </w:r>
            <w:r>
              <w:rPr>
                <w:color w:val="auto"/>
                <w:sz w:val="24"/>
                <w:highlight w:val="none"/>
              </w:rPr>
              <w:t>。</w:t>
            </w:r>
          </w:p>
          <w:p>
            <w:pPr>
              <w:keepNext w:val="0"/>
              <w:keepLines w:val="0"/>
              <w:pageBreakBefore w:val="0"/>
              <w:widowControl w:val="0"/>
              <w:kinsoku/>
              <w:wordWrap/>
              <w:overflowPunct/>
              <w:topLinePunct w:val="0"/>
              <w:bidi w:val="0"/>
              <w:adjustRightInd/>
              <w:snapToGrid/>
              <w:spacing w:line="460" w:lineRule="exact"/>
              <w:ind w:left="0" w:leftChars="0" w:firstLine="420" w:firstLineChars="200"/>
              <w:jc w:val="left"/>
              <w:textAlignment w:val="auto"/>
              <w:rPr>
                <w:color w:val="auto"/>
                <w:sz w:val="24"/>
                <w:highlight w:val="none"/>
              </w:rPr>
            </w:pPr>
            <w:r>
              <w:rPr>
                <w:color w:val="auto"/>
                <w:highlight w:val="none"/>
              </w:rPr>
              <w:fldChar w:fldCharType="begin"/>
            </w:r>
            <w:r>
              <w:rPr>
                <w:color w:val="auto"/>
                <w:sz w:val="24"/>
                <w:highlight w:val="none"/>
              </w:rPr>
              <w:instrText xml:space="preserve"> = 2 \* GB3 </w:instrText>
            </w:r>
            <w:r>
              <w:rPr>
                <w:color w:val="auto"/>
                <w:sz w:val="24"/>
                <w:highlight w:val="none"/>
              </w:rPr>
              <w:fldChar w:fldCharType="separate"/>
            </w:r>
            <w:r>
              <w:rPr>
                <w:color w:val="auto"/>
                <w:sz w:val="24"/>
                <w:highlight w:val="none"/>
              </w:rPr>
              <w:t>②</w:t>
            </w:r>
            <w:r>
              <w:rPr>
                <w:color w:val="auto"/>
                <w:sz w:val="24"/>
                <w:highlight w:val="none"/>
              </w:rPr>
              <w:fldChar w:fldCharType="end"/>
            </w:r>
            <w:r>
              <w:rPr>
                <w:color w:val="auto"/>
                <w:sz w:val="24"/>
                <w:highlight w:val="none"/>
              </w:rPr>
              <w:t>地下水：根据建设项目对地下水环境影响的程度，结合《建设项目环境影响评价分类管理名录》，将建设项目分为四类。Ⅰ类、Ⅱ类、Ⅲ类建设项目的地下水环境影响评价应执行本标准，Ⅳ类建设项目不开展地下水环境影响评价。根据《环境影响评价技术导则 地下水环境》（HJ 610-2016）附录A，本项目行业类别为：</w:t>
            </w:r>
            <w:r>
              <w:rPr>
                <w:rFonts w:hint="eastAsia"/>
                <w:color w:val="auto"/>
                <w:sz w:val="24"/>
                <w:highlight w:val="none"/>
                <w:lang w:eastAsia="zh-CN"/>
              </w:rPr>
              <w:t>金属制品加工制造</w:t>
            </w:r>
            <w:r>
              <w:rPr>
                <w:color w:val="auto"/>
                <w:sz w:val="24"/>
                <w:highlight w:val="none"/>
              </w:rPr>
              <w:t>，属于地下水环境影响评价项目类别Ⅳ类，因此，本项目不开展地下水环境影响评价。仅对防渗措施进行分析</w:t>
            </w:r>
            <w:r>
              <w:rPr>
                <w:rFonts w:hint="eastAsia"/>
                <w:color w:val="auto"/>
                <w:sz w:val="24"/>
                <w:highlight w:val="none"/>
              </w:rPr>
              <w:t>。</w:t>
            </w:r>
          </w:p>
          <w:p>
            <w:pPr>
              <w:pageBreakBefore w:val="0"/>
              <w:widowControl w:val="0"/>
              <w:tabs>
                <w:tab w:val="left" w:pos="6420"/>
              </w:tabs>
              <w:kinsoku/>
              <w:wordWrap/>
              <w:overflowPunct/>
              <w:topLinePunct w:val="0"/>
              <w:autoSpaceDE w:val="0"/>
              <w:autoSpaceDN w:val="0"/>
              <w:bidi w:val="0"/>
              <w:snapToGrid/>
              <w:spacing w:line="460" w:lineRule="exact"/>
              <w:ind w:left="0" w:leftChars="0" w:firstLine="480" w:firstLineChars="200"/>
              <w:textAlignment w:val="auto"/>
              <w:rPr>
                <w:color w:val="auto"/>
                <w:sz w:val="24"/>
                <w:highlight w:val="none"/>
              </w:rPr>
            </w:pPr>
            <w:r>
              <w:rPr>
                <w:color w:val="auto"/>
                <w:sz w:val="24"/>
                <w:highlight w:val="none"/>
              </w:rPr>
              <w:t>因此，本项目不会对周围水环境产生明显影响。</w:t>
            </w:r>
            <w:r>
              <w:rPr>
                <w:rFonts w:hint="eastAsia"/>
                <w:color w:val="auto"/>
                <w:sz w:val="24"/>
                <w:highlight w:val="none"/>
              </w:rPr>
              <w:t xml:space="preserve"> </w:t>
            </w:r>
          </w:p>
          <w:p>
            <w:pPr>
              <w:pageBreakBefore w:val="0"/>
              <w:widowControl w:val="0"/>
              <w:kinsoku/>
              <w:wordWrap/>
              <w:overflowPunct/>
              <w:topLinePunct w:val="0"/>
              <w:bidi w:val="0"/>
              <w:snapToGrid/>
              <w:spacing w:line="460" w:lineRule="exact"/>
              <w:ind w:left="0" w:leftChars="0" w:firstLine="573"/>
              <w:textAlignment w:val="auto"/>
              <w:rPr>
                <w:color w:val="auto"/>
                <w:sz w:val="24"/>
                <w:highlight w:val="none"/>
              </w:rPr>
            </w:pPr>
            <w:r>
              <w:rPr>
                <w:color w:val="auto"/>
                <w:sz w:val="24"/>
                <w:highlight w:val="none"/>
              </w:rPr>
              <w:t>（3）声环境影响分析</w:t>
            </w:r>
          </w:p>
          <w:p>
            <w:pPr>
              <w:pageBreakBefore w:val="0"/>
              <w:widowControl w:val="0"/>
              <w:kinsoku/>
              <w:wordWrap/>
              <w:overflowPunct/>
              <w:topLinePunct w:val="0"/>
              <w:bidi w:val="0"/>
              <w:snapToGrid/>
              <w:spacing w:line="460" w:lineRule="exact"/>
              <w:ind w:left="0" w:leftChars="0" w:firstLine="480" w:firstLineChars="200"/>
              <w:textAlignment w:val="auto"/>
              <w:rPr>
                <w:color w:val="auto"/>
                <w:sz w:val="24"/>
                <w:highlight w:val="none"/>
              </w:rPr>
            </w:pPr>
            <w:r>
              <w:rPr>
                <w:color w:val="auto"/>
                <w:sz w:val="24"/>
                <w:highlight w:val="none"/>
                <w:lang w:val="zh-CN"/>
              </w:rPr>
              <w:t>本项目主要噪声源为</w:t>
            </w:r>
            <w:r>
              <w:rPr>
                <w:rFonts w:hint="eastAsia"/>
                <w:color w:val="auto"/>
                <w:sz w:val="24"/>
                <w:highlight w:val="none"/>
              </w:rPr>
              <w:t>数控火焰切割机</w:t>
            </w:r>
            <w:r>
              <w:rPr>
                <w:rFonts w:hint="eastAsia"/>
                <w:color w:val="auto"/>
                <w:sz w:val="24"/>
                <w:highlight w:val="none"/>
                <w:lang w:eastAsia="zh-CN"/>
              </w:rPr>
              <w:t>、</w:t>
            </w:r>
            <w:r>
              <w:rPr>
                <w:rFonts w:hint="eastAsia"/>
                <w:color w:val="auto"/>
                <w:sz w:val="24"/>
                <w:highlight w:val="none"/>
              </w:rPr>
              <w:t>锯床</w:t>
            </w:r>
            <w:r>
              <w:rPr>
                <w:rFonts w:hint="eastAsia"/>
                <w:color w:val="auto"/>
                <w:sz w:val="24"/>
                <w:highlight w:val="none"/>
                <w:lang w:eastAsia="zh-CN"/>
              </w:rPr>
              <w:t>、</w:t>
            </w:r>
            <w:r>
              <w:rPr>
                <w:rFonts w:hint="eastAsia"/>
                <w:color w:val="auto"/>
                <w:sz w:val="24"/>
                <w:highlight w:val="none"/>
              </w:rPr>
              <w:t>卷板机</w:t>
            </w:r>
            <w:r>
              <w:rPr>
                <w:rFonts w:hint="eastAsia"/>
                <w:color w:val="auto"/>
                <w:sz w:val="24"/>
                <w:highlight w:val="none"/>
                <w:lang w:eastAsia="zh-CN"/>
              </w:rPr>
              <w:t>、</w:t>
            </w:r>
            <w:r>
              <w:rPr>
                <w:rFonts w:hint="eastAsia"/>
                <w:color w:val="auto"/>
                <w:sz w:val="24"/>
                <w:highlight w:val="none"/>
              </w:rPr>
              <w:t>加工中心</w:t>
            </w:r>
            <w:r>
              <w:rPr>
                <w:rFonts w:hint="eastAsia"/>
                <w:color w:val="auto"/>
                <w:sz w:val="24"/>
                <w:highlight w:val="none"/>
                <w:lang w:eastAsia="zh-CN"/>
              </w:rPr>
              <w:t>、</w:t>
            </w:r>
            <w:r>
              <w:rPr>
                <w:rFonts w:hint="eastAsia"/>
                <w:color w:val="auto"/>
                <w:sz w:val="24"/>
                <w:highlight w:val="none"/>
              </w:rPr>
              <w:t>车床</w:t>
            </w:r>
            <w:r>
              <w:rPr>
                <w:rFonts w:hint="eastAsia"/>
                <w:color w:val="auto"/>
                <w:sz w:val="24"/>
                <w:highlight w:val="none"/>
                <w:lang w:eastAsia="zh-CN"/>
              </w:rPr>
              <w:t>、钻床、</w:t>
            </w:r>
            <w:r>
              <w:rPr>
                <w:rFonts w:hint="eastAsia"/>
                <w:color w:val="auto"/>
                <w:sz w:val="24"/>
                <w:highlight w:val="none"/>
              </w:rPr>
              <w:t>磨床</w:t>
            </w:r>
            <w:r>
              <w:rPr>
                <w:rFonts w:hint="eastAsia"/>
                <w:color w:val="auto"/>
                <w:sz w:val="24"/>
                <w:highlight w:val="none"/>
                <w:lang w:eastAsia="zh-CN"/>
              </w:rPr>
              <w:t>、</w:t>
            </w:r>
            <w:r>
              <w:rPr>
                <w:rFonts w:hint="eastAsia"/>
                <w:color w:val="auto"/>
                <w:sz w:val="24"/>
                <w:highlight w:val="none"/>
              </w:rPr>
              <w:t>镗床</w:t>
            </w:r>
            <w:r>
              <w:rPr>
                <w:rFonts w:hint="eastAsia"/>
                <w:color w:val="auto"/>
                <w:sz w:val="24"/>
                <w:highlight w:val="none"/>
                <w:lang w:eastAsia="zh-CN"/>
              </w:rPr>
              <w:t>、</w:t>
            </w:r>
            <w:r>
              <w:rPr>
                <w:rFonts w:hint="eastAsia"/>
                <w:color w:val="auto"/>
                <w:sz w:val="24"/>
                <w:highlight w:val="none"/>
              </w:rPr>
              <w:t>自制抛光机</w:t>
            </w:r>
            <w:r>
              <w:rPr>
                <w:rFonts w:hint="eastAsia"/>
                <w:color w:val="auto"/>
                <w:sz w:val="24"/>
                <w:highlight w:val="none"/>
                <w:lang w:eastAsia="zh-CN"/>
              </w:rPr>
              <w:t>、电阻炉、风机</w:t>
            </w:r>
            <w:r>
              <w:rPr>
                <w:rFonts w:hint="default"/>
                <w:color w:val="auto"/>
                <w:sz w:val="24"/>
                <w:highlight w:val="none"/>
                <w:lang w:val="zh-CN"/>
              </w:rPr>
              <w:t>等设备产生的噪声</w:t>
            </w:r>
            <w:r>
              <w:rPr>
                <w:color w:val="auto"/>
                <w:sz w:val="24"/>
                <w:highlight w:val="none"/>
                <w:lang w:val="zh-CN"/>
              </w:rPr>
              <w:t>，噪声源强约为</w:t>
            </w:r>
            <w:r>
              <w:rPr>
                <w:rFonts w:hint="eastAsia"/>
                <w:color w:val="auto"/>
                <w:sz w:val="24"/>
                <w:highlight w:val="none"/>
                <w:lang w:val="zh-CN" w:eastAsia="zh-CN"/>
              </w:rPr>
              <w:t>80</w:t>
            </w:r>
            <w:r>
              <w:rPr>
                <w:color w:val="auto"/>
                <w:sz w:val="24"/>
                <w:highlight w:val="none"/>
                <w:lang w:val="zh-CN"/>
              </w:rPr>
              <w:t>~</w:t>
            </w:r>
            <w:r>
              <w:rPr>
                <w:rFonts w:hint="eastAsia"/>
                <w:color w:val="auto"/>
                <w:sz w:val="24"/>
                <w:highlight w:val="none"/>
                <w:lang w:val="zh-CN" w:eastAsia="zh-CN"/>
              </w:rPr>
              <w:t>90</w:t>
            </w:r>
            <w:r>
              <w:rPr>
                <w:color w:val="auto"/>
                <w:sz w:val="24"/>
                <w:highlight w:val="none"/>
                <w:lang w:val="zh-CN"/>
              </w:rPr>
              <w:t>dB（A）。采取厂房隔声、基础减振等措施，</w:t>
            </w:r>
            <w:r>
              <w:rPr>
                <w:color w:val="auto"/>
                <w:sz w:val="24"/>
                <w:highlight w:val="none"/>
              </w:rPr>
              <w:t>并经距离衰减后，厂界噪声符合《工业企业厂界环境噪声排放标准》(GB12348－2008)</w:t>
            </w:r>
            <w:r>
              <w:rPr>
                <w:rFonts w:hint="eastAsia"/>
                <w:color w:val="auto"/>
                <w:sz w:val="24"/>
                <w:highlight w:val="none"/>
                <w:lang w:val="en-US" w:eastAsia="zh-CN"/>
              </w:rPr>
              <w:t>3</w:t>
            </w:r>
            <w:r>
              <w:rPr>
                <w:color w:val="auto"/>
                <w:sz w:val="24"/>
                <w:highlight w:val="none"/>
              </w:rPr>
              <w:t>类区标准要求。因此，不会对周围环境和敏感点造成影响。</w:t>
            </w:r>
          </w:p>
          <w:p>
            <w:pPr>
              <w:pageBreakBefore w:val="0"/>
              <w:widowControl w:val="0"/>
              <w:kinsoku/>
              <w:wordWrap/>
              <w:overflowPunct/>
              <w:topLinePunct w:val="0"/>
              <w:bidi w:val="0"/>
              <w:snapToGrid/>
              <w:spacing w:line="460" w:lineRule="exact"/>
              <w:ind w:left="0" w:leftChars="0" w:firstLine="480" w:firstLineChars="200"/>
              <w:textAlignment w:val="auto"/>
              <w:rPr>
                <w:color w:val="auto"/>
                <w:sz w:val="24"/>
                <w:highlight w:val="none"/>
              </w:rPr>
            </w:pPr>
            <w:r>
              <w:rPr>
                <w:color w:val="auto"/>
                <w:sz w:val="24"/>
                <w:highlight w:val="none"/>
              </w:rPr>
              <w:t>（4）固废环境影响分析</w:t>
            </w:r>
          </w:p>
          <w:p>
            <w:pPr>
              <w:pageBreakBefore w:val="0"/>
              <w:widowControl w:val="0"/>
              <w:kinsoku/>
              <w:wordWrap/>
              <w:overflowPunct/>
              <w:topLinePunct w:val="0"/>
              <w:bidi w:val="0"/>
              <w:snapToGrid/>
              <w:spacing w:line="460" w:lineRule="exact"/>
              <w:ind w:left="0" w:leftChars="0" w:firstLine="480" w:firstLineChars="200"/>
              <w:textAlignment w:val="auto"/>
              <w:rPr>
                <w:rFonts w:hint="eastAsia"/>
                <w:color w:val="auto"/>
                <w:sz w:val="24"/>
                <w:highlight w:val="none"/>
                <w:lang w:val="zh-CN"/>
              </w:rPr>
            </w:pPr>
            <w:r>
              <w:rPr>
                <w:color w:val="auto"/>
                <w:sz w:val="24"/>
                <w:highlight w:val="none"/>
                <w:lang w:val="zh-CN"/>
              </w:rPr>
              <w:t>固废主要为</w:t>
            </w:r>
            <w:r>
              <w:rPr>
                <w:rFonts w:hint="eastAsia"/>
                <w:color w:val="auto"/>
                <w:sz w:val="24"/>
                <w:highlight w:val="none"/>
                <w:lang w:val="zh-CN"/>
              </w:rPr>
              <w:t>下料、机加工产生的下脚料，锯床产生的含有金属屑，</w:t>
            </w:r>
            <w:r>
              <w:rPr>
                <w:color w:val="auto"/>
                <w:sz w:val="24"/>
                <w:highlight w:val="none"/>
                <w:lang w:val="zh-CN"/>
              </w:rPr>
              <w:t>铣床</w:t>
            </w:r>
            <w:r>
              <w:rPr>
                <w:rFonts w:hint="eastAsia"/>
                <w:color w:val="auto"/>
                <w:sz w:val="24"/>
                <w:highlight w:val="none"/>
                <w:lang w:val="zh-CN" w:eastAsia="zh-CN"/>
              </w:rPr>
              <w:t>产生的含油金属屑、废切削液、废切削液桶，</w:t>
            </w:r>
            <w:r>
              <w:rPr>
                <w:color w:val="auto"/>
                <w:sz w:val="24"/>
                <w:highlight w:val="none"/>
                <w:lang w:val="zh-CN"/>
              </w:rPr>
              <w:t>设备运转维修</w:t>
            </w:r>
            <w:r>
              <w:rPr>
                <w:rFonts w:hint="eastAsia"/>
                <w:color w:val="auto"/>
                <w:sz w:val="24"/>
                <w:highlight w:val="none"/>
                <w:lang w:val="zh-CN"/>
              </w:rPr>
              <w:t>过程中产生的废润滑油、废液压油、废包装桶，设备维修产生的含油废抹布及废手套，除尘器产生的除尘灰。</w:t>
            </w:r>
          </w:p>
          <w:p>
            <w:pPr>
              <w:pageBreakBefore w:val="0"/>
              <w:widowControl w:val="0"/>
              <w:kinsoku/>
              <w:wordWrap/>
              <w:overflowPunct/>
              <w:topLinePunct w:val="0"/>
              <w:bidi w:val="0"/>
              <w:snapToGrid/>
              <w:spacing w:line="460" w:lineRule="exact"/>
              <w:ind w:left="0" w:leftChars="0" w:firstLine="480" w:firstLineChars="200"/>
              <w:textAlignment w:val="auto"/>
              <w:rPr>
                <w:rFonts w:hint="eastAsia"/>
                <w:color w:val="auto"/>
                <w:sz w:val="24"/>
                <w:highlight w:val="none"/>
                <w:lang w:val="zh-CN" w:eastAsia="zh-CN"/>
              </w:rPr>
            </w:pPr>
            <w:r>
              <w:rPr>
                <w:rFonts w:hint="eastAsia"/>
                <w:color w:val="auto"/>
                <w:sz w:val="24"/>
                <w:highlight w:val="none"/>
                <w:lang w:val="zh-CN"/>
              </w:rPr>
              <w:t>下脚料</w:t>
            </w:r>
            <w:r>
              <w:rPr>
                <w:color w:val="auto"/>
                <w:sz w:val="24"/>
                <w:highlight w:val="none"/>
              </w:rPr>
              <w:t>集中收集后外售</w:t>
            </w:r>
            <w:r>
              <w:rPr>
                <w:rFonts w:hint="eastAsia"/>
                <w:color w:val="auto"/>
                <w:sz w:val="24"/>
                <w:highlight w:val="none"/>
                <w:lang w:eastAsia="zh-CN"/>
              </w:rPr>
              <w:t>；</w:t>
            </w:r>
            <w:r>
              <w:rPr>
                <w:rFonts w:hint="eastAsia"/>
                <w:color w:val="auto"/>
                <w:sz w:val="24"/>
                <w:szCs w:val="24"/>
                <w:highlight w:val="none"/>
              </w:rPr>
              <w:t>含</w:t>
            </w:r>
            <w:r>
              <w:rPr>
                <w:rFonts w:hint="eastAsia"/>
                <w:color w:val="auto"/>
                <w:sz w:val="24"/>
                <w:szCs w:val="24"/>
                <w:highlight w:val="none"/>
                <w:lang w:eastAsia="zh-CN"/>
              </w:rPr>
              <w:t>油</w:t>
            </w:r>
            <w:r>
              <w:rPr>
                <w:rFonts w:hint="eastAsia"/>
                <w:color w:val="auto"/>
                <w:sz w:val="24"/>
                <w:szCs w:val="24"/>
                <w:highlight w:val="none"/>
              </w:rPr>
              <w:t>金属屑单独收集后放入离心分离设备内，在离心力的作用下，将金属屑与</w:t>
            </w:r>
            <w:r>
              <w:rPr>
                <w:rFonts w:hint="eastAsia"/>
                <w:color w:val="auto"/>
                <w:sz w:val="24"/>
                <w:szCs w:val="24"/>
                <w:highlight w:val="none"/>
                <w:lang w:eastAsia="zh-CN"/>
              </w:rPr>
              <w:t>废</w:t>
            </w:r>
            <w:r>
              <w:rPr>
                <w:rFonts w:hint="eastAsia"/>
                <w:color w:val="auto"/>
                <w:sz w:val="24"/>
                <w:szCs w:val="24"/>
                <w:highlight w:val="none"/>
              </w:rPr>
              <w:t>切削液分开，离</w:t>
            </w:r>
            <w:r>
              <w:rPr>
                <w:rFonts w:hint="eastAsia"/>
                <w:color w:val="auto"/>
                <w:sz w:val="24"/>
                <w:szCs w:val="24"/>
                <w:highlight w:val="none"/>
                <w:lang w:eastAsia="zh-CN"/>
              </w:rPr>
              <w:t>心</w:t>
            </w:r>
            <w:r>
              <w:rPr>
                <w:rFonts w:hint="eastAsia"/>
                <w:color w:val="auto"/>
                <w:sz w:val="24"/>
                <w:szCs w:val="24"/>
                <w:highlight w:val="none"/>
              </w:rPr>
              <w:t>设备收集桶内收集的废切削液倒入回收桶内，加盖储存，可重新回用于生产，</w:t>
            </w:r>
            <w:r>
              <w:rPr>
                <w:rFonts w:hint="eastAsia"/>
                <w:color w:val="auto"/>
                <w:sz w:val="24"/>
                <w:szCs w:val="24"/>
                <w:highlight w:val="none"/>
                <w:lang w:eastAsia="zh-CN"/>
              </w:rPr>
              <w:t>定期更换；</w:t>
            </w:r>
            <w:r>
              <w:rPr>
                <w:rFonts w:hint="eastAsia"/>
                <w:color w:val="auto"/>
                <w:sz w:val="24"/>
                <w:highlight w:val="none"/>
              </w:rPr>
              <w:t>离心后的废金属屑袋装收集储存不落地</w:t>
            </w:r>
            <w:r>
              <w:rPr>
                <w:rFonts w:hint="eastAsia"/>
                <w:color w:val="auto"/>
                <w:sz w:val="24"/>
                <w:highlight w:val="none"/>
                <w:lang w:eastAsia="zh-CN"/>
              </w:rPr>
              <w:t>，集中收集后外售；</w:t>
            </w:r>
            <w:r>
              <w:rPr>
                <w:color w:val="auto"/>
                <w:sz w:val="24"/>
                <w:highlight w:val="none"/>
              </w:rPr>
              <w:t>废液压油</w:t>
            </w:r>
            <w:r>
              <w:rPr>
                <w:rFonts w:hint="eastAsia"/>
                <w:color w:val="auto"/>
                <w:sz w:val="24"/>
                <w:highlight w:val="none"/>
              </w:rPr>
              <w:t>、废润滑油、废切削液、</w:t>
            </w:r>
            <w:r>
              <w:rPr>
                <w:rFonts w:hint="eastAsia"/>
                <w:color w:val="auto"/>
                <w:sz w:val="24"/>
                <w:highlight w:val="none"/>
                <w:lang w:eastAsia="zh-CN"/>
              </w:rPr>
              <w:t>废包装桶、</w:t>
            </w:r>
            <w:r>
              <w:rPr>
                <w:rFonts w:hint="eastAsia"/>
                <w:color w:val="auto"/>
                <w:sz w:val="24"/>
                <w:highlight w:val="none"/>
                <w:lang w:val="zh-CN"/>
              </w:rPr>
              <w:t>含油废抹布及废手套</w:t>
            </w:r>
            <w:r>
              <w:rPr>
                <w:rFonts w:hint="eastAsia"/>
                <w:color w:val="auto"/>
                <w:sz w:val="24"/>
                <w:highlight w:val="none"/>
                <w:lang w:eastAsia="zh-CN"/>
              </w:rPr>
              <w:t>委托有资质的单位处理。</w:t>
            </w:r>
          </w:p>
          <w:p>
            <w:pPr>
              <w:pageBreakBefore w:val="0"/>
              <w:widowControl w:val="0"/>
              <w:kinsoku/>
              <w:wordWrap/>
              <w:overflowPunct/>
              <w:topLinePunct w:val="0"/>
              <w:bidi w:val="0"/>
              <w:snapToGrid/>
              <w:spacing w:line="460" w:lineRule="exact"/>
              <w:ind w:left="0" w:leftChars="0" w:firstLine="480" w:firstLineChars="200"/>
              <w:textAlignment w:val="auto"/>
              <w:rPr>
                <w:color w:val="auto"/>
                <w:sz w:val="24"/>
                <w:highlight w:val="none"/>
              </w:rPr>
            </w:pPr>
            <w:r>
              <w:rPr>
                <w:color w:val="auto"/>
                <w:sz w:val="24"/>
                <w:highlight w:val="none"/>
              </w:rPr>
              <w:t>因此，固废均得到合理的处置和综合利用，不会对环境带来不利影响。</w:t>
            </w:r>
          </w:p>
          <w:p>
            <w:pPr>
              <w:pageBreakBefore w:val="0"/>
              <w:widowControl w:val="0"/>
              <w:kinsoku/>
              <w:wordWrap/>
              <w:overflowPunct/>
              <w:topLinePunct w:val="0"/>
              <w:bidi w:val="0"/>
              <w:snapToGrid/>
              <w:spacing w:line="460" w:lineRule="exact"/>
              <w:ind w:left="0" w:leftChars="0" w:firstLine="480" w:firstLineChars="200"/>
              <w:textAlignment w:val="auto"/>
              <w:rPr>
                <w:color w:val="auto"/>
                <w:sz w:val="24"/>
                <w:highlight w:val="none"/>
              </w:rPr>
            </w:pPr>
            <w:r>
              <w:rPr>
                <w:color w:val="auto"/>
                <w:sz w:val="24"/>
                <w:highlight w:val="none"/>
              </w:rPr>
              <w:t>（5）土壤环境影响分析</w:t>
            </w:r>
          </w:p>
          <w:p>
            <w:pPr>
              <w:topLinePunct/>
              <w:spacing w:line="480" w:lineRule="exact"/>
              <w:ind w:firstLine="480" w:firstLineChars="200"/>
              <w:jc w:val="left"/>
              <w:rPr>
                <w:rFonts w:hint="eastAsia" w:eastAsia="宋体"/>
                <w:color w:val="auto"/>
                <w:sz w:val="24"/>
                <w:highlight w:val="none"/>
                <w:lang w:eastAsia="zh-CN"/>
              </w:rPr>
            </w:pPr>
            <w:r>
              <w:rPr>
                <w:color w:val="auto"/>
                <w:sz w:val="24"/>
                <w:highlight w:val="none"/>
              </w:rPr>
              <w:t>本项目属于“</w:t>
            </w:r>
            <w:r>
              <w:rPr>
                <w:color w:val="auto"/>
                <w:sz w:val="24"/>
                <w:szCs w:val="22"/>
                <w:highlight w:val="none"/>
              </w:rPr>
              <w:t>Ⅲ</w:t>
            </w:r>
            <w:r>
              <w:rPr>
                <w:color w:val="auto"/>
                <w:sz w:val="24"/>
                <w:highlight w:val="none"/>
              </w:rPr>
              <w:t>类”项目，占地规模为“</w:t>
            </w:r>
            <w:r>
              <w:rPr>
                <w:rFonts w:hint="eastAsia"/>
                <w:color w:val="auto"/>
                <w:sz w:val="24"/>
                <w:highlight w:val="none"/>
                <w:lang w:eastAsia="zh-CN"/>
              </w:rPr>
              <w:t>小</w:t>
            </w:r>
            <w:r>
              <w:rPr>
                <w:color w:val="auto"/>
                <w:sz w:val="24"/>
                <w:highlight w:val="none"/>
              </w:rPr>
              <w:t>型”，敏感程度为“</w:t>
            </w:r>
            <w:r>
              <w:rPr>
                <w:rFonts w:hint="eastAsia"/>
                <w:color w:val="auto"/>
                <w:sz w:val="24"/>
                <w:highlight w:val="none"/>
                <w:lang w:eastAsia="zh-CN"/>
              </w:rPr>
              <w:t>不</w:t>
            </w:r>
            <w:r>
              <w:rPr>
                <w:color w:val="auto"/>
                <w:sz w:val="24"/>
                <w:highlight w:val="none"/>
              </w:rPr>
              <w:t>敏感”，</w:t>
            </w:r>
            <w:r>
              <w:rPr>
                <w:rFonts w:hint="default" w:ascii="Times New Roman" w:hAnsi="Times New Roman" w:eastAsia="宋体" w:cs="Times New Roman"/>
                <w:color w:val="auto"/>
                <w:sz w:val="24"/>
                <w:szCs w:val="24"/>
                <w:highlight w:val="none"/>
                <w:lang w:eastAsia="zh-CN"/>
              </w:rPr>
              <w:t>根据</w:t>
            </w:r>
            <w:r>
              <w:rPr>
                <w:rFonts w:hint="default" w:ascii="Times New Roman" w:hAnsi="Times New Roman" w:eastAsia="宋体" w:cs="Times New Roman"/>
                <w:color w:val="auto"/>
                <w:sz w:val="24"/>
                <w:szCs w:val="22"/>
                <w:highlight w:val="none"/>
              </w:rPr>
              <w:t>《环境影响评价技术导则  土壤环境（试行）》（HJ964-2018）</w:t>
            </w:r>
            <w:r>
              <w:rPr>
                <w:rFonts w:hint="default" w:ascii="Times New Roman" w:hAnsi="Times New Roman" w:eastAsia="宋体" w:cs="Times New Roman"/>
                <w:color w:val="auto"/>
                <w:sz w:val="24"/>
                <w:szCs w:val="22"/>
                <w:highlight w:val="none"/>
                <w:lang w:eastAsia="zh-CN"/>
              </w:rPr>
              <w:t>，本项目</w:t>
            </w:r>
            <w:r>
              <w:rPr>
                <w:rFonts w:hint="eastAsia" w:ascii="Times New Roman" w:hAnsi="Times New Roman" w:cs="Times New Roman"/>
                <w:caps w:val="0"/>
                <w:smallCaps w:val="0"/>
                <w:color w:val="auto"/>
                <w:spacing w:val="0"/>
                <w:w w:val="100"/>
                <w:sz w:val="24"/>
                <w:szCs w:val="24"/>
                <w:highlight w:val="none"/>
                <w:u w:val="none"/>
                <w:lang w:eastAsia="zh-CN"/>
              </w:rPr>
              <w:t>不开展土壤环境影响评价</w:t>
            </w:r>
            <w:r>
              <w:rPr>
                <w:rFonts w:hint="default" w:ascii="Times New Roman" w:hAnsi="Times New Roman" w:cs="Times New Roman"/>
                <w:caps w:val="0"/>
                <w:smallCaps w:val="0"/>
                <w:color w:val="auto"/>
                <w:spacing w:val="0"/>
                <w:w w:val="100"/>
                <w:sz w:val="24"/>
                <w:szCs w:val="24"/>
                <w:highlight w:val="none"/>
                <w:u w:val="none"/>
              </w:rPr>
              <w:t>。</w:t>
            </w:r>
          </w:p>
          <w:p>
            <w:pPr>
              <w:pageBreakBefore w:val="0"/>
              <w:widowControl w:val="0"/>
              <w:tabs>
                <w:tab w:val="left" w:pos="5682"/>
              </w:tabs>
              <w:kinsoku/>
              <w:wordWrap/>
              <w:overflowPunct/>
              <w:topLinePunct w:val="0"/>
              <w:autoSpaceDE w:val="0"/>
              <w:autoSpaceDN w:val="0"/>
              <w:bidi w:val="0"/>
              <w:adjustRightInd w:val="0"/>
              <w:snapToGrid/>
              <w:spacing w:line="460" w:lineRule="exact"/>
              <w:ind w:left="0" w:leftChars="0" w:firstLine="480" w:firstLineChars="200"/>
              <w:textAlignment w:val="auto"/>
              <w:rPr>
                <w:color w:val="auto"/>
                <w:kern w:val="0"/>
                <w:sz w:val="24"/>
                <w:highlight w:val="none"/>
              </w:rPr>
            </w:pPr>
            <w:r>
              <w:rPr>
                <w:rFonts w:hint="default" w:ascii="Times New Roman" w:hAnsi="Times New Roman" w:cs="Times New Roman"/>
                <w:bCs/>
                <w:color w:val="auto"/>
                <w:sz w:val="24"/>
                <w:highlight w:val="none"/>
                <w:lang w:eastAsia="zh-CN"/>
              </w:rPr>
              <w:t>因此，土壤环境影响可接受。</w:t>
            </w:r>
          </w:p>
          <w:p>
            <w:pPr>
              <w:pageBreakBefore w:val="0"/>
              <w:widowControl w:val="0"/>
              <w:tabs>
                <w:tab w:val="left" w:pos="5682"/>
              </w:tabs>
              <w:kinsoku/>
              <w:wordWrap/>
              <w:overflowPunct/>
              <w:topLinePunct w:val="0"/>
              <w:autoSpaceDE w:val="0"/>
              <w:autoSpaceDN w:val="0"/>
              <w:bidi w:val="0"/>
              <w:adjustRightInd w:val="0"/>
              <w:snapToGrid/>
              <w:spacing w:line="460" w:lineRule="exact"/>
              <w:ind w:left="0" w:leftChars="0" w:firstLine="480" w:firstLineChars="200"/>
              <w:textAlignment w:val="auto"/>
              <w:rPr>
                <w:color w:val="auto"/>
                <w:kern w:val="0"/>
                <w:sz w:val="24"/>
                <w:highlight w:val="none"/>
              </w:rPr>
            </w:pPr>
            <w:r>
              <w:rPr>
                <w:color w:val="auto"/>
                <w:kern w:val="0"/>
                <w:sz w:val="24"/>
                <w:highlight w:val="none"/>
              </w:rPr>
              <w:t>4、总量控制结论</w:t>
            </w:r>
          </w:p>
          <w:p>
            <w:pPr>
              <w:pageBreakBefore w:val="0"/>
              <w:widowControl w:val="0"/>
              <w:kinsoku/>
              <w:wordWrap/>
              <w:overflowPunct/>
              <w:topLinePunct w:val="0"/>
              <w:bidi w:val="0"/>
              <w:snapToGrid/>
              <w:spacing w:line="460" w:lineRule="exact"/>
              <w:ind w:left="0" w:leftChars="0" w:firstLine="488" w:firstLineChars="200"/>
              <w:textAlignment w:val="auto"/>
              <w:rPr>
                <w:bCs/>
                <w:color w:val="auto"/>
                <w:sz w:val="24"/>
                <w:highlight w:val="none"/>
              </w:rPr>
            </w:pPr>
            <w:r>
              <w:rPr>
                <w:color w:val="auto"/>
                <w:spacing w:val="2"/>
                <w:kern w:val="0"/>
                <w:sz w:val="24"/>
                <w:highlight w:val="none"/>
              </w:rPr>
              <w:t>根据项目特点及所处位置及环境状况，</w:t>
            </w:r>
            <w:r>
              <w:rPr>
                <w:bCs/>
                <w:color w:val="auto"/>
                <w:sz w:val="24"/>
                <w:highlight w:val="none"/>
              </w:rPr>
              <w:t>本项目污染物排放总量控制指标为：</w:t>
            </w:r>
          </w:p>
          <w:p>
            <w:pPr>
              <w:pStyle w:val="49"/>
              <w:pageBreakBefore w:val="0"/>
              <w:widowControl w:val="0"/>
              <w:kinsoku/>
              <w:wordWrap/>
              <w:overflowPunct/>
              <w:topLinePunct w:val="0"/>
              <w:bidi w:val="0"/>
              <w:snapToGrid/>
              <w:spacing w:line="460" w:lineRule="exact"/>
              <w:ind w:left="0" w:leftChars="0" w:firstLine="482" w:firstLineChars="200"/>
              <w:textAlignment w:val="auto"/>
              <w:rPr>
                <w:rFonts w:ascii="Times New Roman"/>
                <w:b/>
                <w:color w:val="auto"/>
                <w:highlight w:val="none"/>
              </w:rPr>
            </w:pPr>
            <w:r>
              <w:rPr>
                <w:rFonts w:ascii="Times New Roman"/>
                <w:b/>
                <w:color w:val="auto"/>
                <w:highlight w:val="none"/>
              </w:rPr>
              <w:t>废水：COD：</w:t>
            </w:r>
            <w:r>
              <w:rPr>
                <w:rFonts w:hint="eastAsia" w:ascii="Times New Roman"/>
                <w:b/>
                <w:color w:val="auto"/>
                <w:highlight w:val="none"/>
                <w:lang w:val="en-US" w:eastAsia="zh-CN"/>
              </w:rPr>
              <w:t>0</w:t>
            </w:r>
            <w:r>
              <w:rPr>
                <w:rFonts w:ascii="Times New Roman"/>
                <w:b/>
                <w:color w:val="auto"/>
                <w:highlight w:val="none"/>
              </w:rPr>
              <w:t>t/a、氨氮：</w:t>
            </w:r>
            <w:r>
              <w:rPr>
                <w:rFonts w:hint="eastAsia" w:ascii="Times New Roman"/>
                <w:b/>
                <w:color w:val="auto"/>
                <w:highlight w:val="none"/>
                <w:lang w:val="en-US" w:eastAsia="zh-CN"/>
              </w:rPr>
              <w:t>0</w:t>
            </w:r>
            <w:r>
              <w:rPr>
                <w:rFonts w:ascii="Times New Roman"/>
                <w:b/>
                <w:color w:val="auto"/>
                <w:highlight w:val="none"/>
              </w:rPr>
              <w:t>t/a；</w:t>
            </w:r>
          </w:p>
          <w:p>
            <w:pPr>
              <w:pStyle w:val="49"/>
              <w:pageBreakBefore w:val="0"/>
              <w:widowControl w:val="0"/>
              <w:kinsoku/>
              <w:wordWrap/>
              <w:overflowPunct/>
              <w:topLinePunct w:val="0"/>
              <w:bidi w:val="0"/>
              <w:snapToGrid/>
              <w:spacing w:line="460" w:lineRule="exact"/>
              <w:ind w:left="0" w:leftChars="0" w:firstLine="482" w:firstLineChars="200"/>
              <w:textAlignment w:val="auto"/>
              <w:rPr>
                <w:rFonts w:ascii="Times New Roman"/>
                <w:b/>
                <w:color w:val="auto"/>
                <w:highlight w:val="none"/>
              </w:rPr>
            </w:pPr>
            <w:r>
              <w:rPr>
                <w:rFonts w:ascii="Times New Roman"/>
                <w:b/>
                <w:color w:val="auto"/>
                <w:highlight w:val="none"/>
              </w:rPr>
              <w:t>废气：SO</w:t>
            </w:r>
            <w:r>
              <w:rPr>
                <w:rFonts w:ascii="Times New Roman"/>
                <w:b/>
                <w:color w:val="auto"/>
                <w:highlight w:val="none"/>
                <w:vertAlign w:val="subscript"/>
              </w:rPr>
              <w:t>2</w:t>
            </w:r>
            <w:r>
              <w:rPr>
                <w:rFonts w:ascii="Times New Roman"/>
                <w:b/>
                <w:color w:val="auto"/>
                <w:highlight w:val="none"/>
              </w:rPr>
              <w:t>：</w:t>
            </w:r>
            <w:r>
              <w:rPr>
                <w:rFonts w:hint="eastAsia" w:ascii="Times New Roman"/>
                <w:b/>
                <w:color w:val="auto"/>
                <w:highlight w:val="none"/>
                <w:lang w:val="en-US" w:eastAsia="zh-CN"/>
              </w:rPr>
              <w:t>0</w:t>
            </w:r>
            <w:r>
              <w:rPr>
                <w:rFonts w:ascii="Times New Roman"/>
                <w:b/>
                <w:color w:val="auto"/>
                <w:highlight w:val="none"/>
              </w:rPr>
              <w:t>t/a、NOx：0t/a</w:t>
            </w:r>
            <w:r>
              <w:rPr>
                <w:rFonts w:hint="eastAsia" w:ascii="Times New Roman"/>
                <w:b/>
                <w:color w:val="auto"/>
                <w:highlight w:val="none"/>
              </w:rPr>
              <w:t>、颗粒物：</w:t>
            </w:r>
            <w:r>
              <w:rPr>
                <w:rFonts w:hint="eastAsia" w:ascii="Times New Roman"/>
                <w:b/>
                <w:color w:val="auto"/>
                <w:highlight w:val="none"/>
                <w:lang w:val="en-US" w:eastAsia="zh-CN"/>
              </w:rPr>
              <w:t>0.01634t</w:t>
            </w:r>
            <w:r>
              <w:rPr>
                <w:rFonts w:ascii="Times New Roman"/>
                <w:b/>
                <w:color w:val="auto"/>
                <w:highlight w:val="none"/>
              </w:rPr>
              <w:t>/a。</w:t>
            </w:r>
          </w:p>
          <w:p>
            <w:pPr>
              <w:pageBreakBefore w:val="0"/>
              <w:widowControl w:val="0"/>
              <w:kinsoku/>
              <w:wordWrap/>
              <w:overflowPunct/>
              <w:topLinePunct w:val="0"/>
              <w:bidi w:val="0"/>
              <w:snapToGrid/>
              <w:spacing w:line="460" w:lineRule="exact"/>
              <w:ind w:left="0" w:leftChars="0" w:firstLine="488" w:firstLineChars="200"/>
              <w:textAlignment w:val="auto"/>
              <w:rPr>
                <w:color w:val="auto"/>
                <w:spacing w:val="2"/>
                <w:kern w:val="0"/>
                <w:sz w:val="24"/>
                <w:highlight w:val="none"/>
              </w:rPr>
            </w:pPr>
            <w:r>
              <w:rPr>
                <w:color w:val="auto"/>
                <w:spacing w:val="2"/>
                <w:kern w:val="0"/>
                <w:sz w:val="24"/>
                <w:highlight w:val="none"/>
              </w:rPr>
              <w:t>5、用地及规划符合性分析结论</w:t>
            </w:r>
          </w:p>
          <w:p>
            <w:pPr>
              <w:pageBreakBefore w:val="0"/>
              <w:widowControl w:val="0"/>
              <w:kinsoku/>
              <w:wordWrap/>
              <w:overflowPunct/>
              <w:topLinePunct w:val="0"/>
              <w:bidi w:val="0"/>
              <w:snapToGrid/>
              <w:spacing w:line="460" w:lineRule="exact"/>
              <w:ind w:left="0" w:leftChars="0" w:firstLine="480" w:firstLineChars="200"/>
              <w:textAlignment w:val="auto"/>
              <w:rPr>
                <w:b w:val="0"/>
                <w:bCs w:val="0"/>
                <w:color w:val="auto"/>
                <w:sz w:val="24"/>
                <w:highlight w:val="none"/>
              </w:rPr>
            </w:pPr>
            <w:r>
              <w:rPr>
                <w:rFonts w:hint="eastAsia"/>
                <w:b w:val="0"/>
                <w:bCs w:val="0"/>
                <w:color w:val="auto"/>
                <w:sz w:val="24"/>
                <w:highlight w:val="none"/>
                <w:lang w:eastAsia="zh-CN"/>
              </w:rPr>
              <w:t>本项目位于</w:t>
            </w:r>
            <w:r>
              <w:rPr>
                <w:rFonts w:hint="eastAsia"/>
                <w:color w:val="auto"/>
                <w:kern w:val="24"/>
                <w:sz w:val="24"/>
                <w:highlight w:val="none"/>
                <w:lang w:eastAsia="zh-CN"/>
              </w:rPr>
              <w:t>河北迁安经济开发区纬九街南侧、纬十街北侧</w:t>
            </w:r>
            <w:r>
              <w:rPr>
                <w:rFonts w:hint="eastAsia"/>
                <w:b w:val="0"/>
                <w:bCs w:val="0"/>
                <w:color w:val="auto"/>
                <w:sz w:val="24"/>
                <w:highlight w:val="none"/>
                <w:lang w:eastAsia="zh-CN"/>
              </w:rPr>
              <w:t>，土地为规划工业用地，根据证明可知，项目</w:t>
            </w:r>
            <w:r>
              <w:rPr>
                <w:b w:val="0"/>
                <w:bCs w:val="0"/>
                <w:color w:val="auto"/>
                <w:sz w:val="24"/>
                <w:highlight w:val="none"/>
                <w:lang w:eastAsia="zh-CN"/>
              </w:rPr>
              <w:t>占地为</w:t>
            </w:r>
            <w:r>
              <w:rPr>
                <w:rFonts w:hint="eastAsia"/>
                <w:b w:val="0"/>
                <w:bCs w:val="0"/>
                <w:color w:val="auto"/>
                <w:sz w:val="24"/>
                <w:highlight w:val="none"/>
                <w:lang w:eastAsia="zh-CN"/>
              </w:rPr>
              <w:t>允许建设区</w:t>
            </w:r>
            <w:r>
              <w:rPr>
                <w:b w:val="0"/>
                <w:bCs w:val="0"/>
                <w:color w:val="auto"/>
                <w:sz w:val="24"/>
                <w:highlight w:val="none"/>
                <w:lang w:eastAsia="zh-CN"/>
              </w:rPr>
              <w:t>；</w:t>
            </w:r>
            <w:r>
              <w:rPr>
                <w:rFonts w:hint="eastAsia"/>
                <w:b w:val="0"/>
                <w:bCs w:val="0"/>
                <w:color w:val="auto"/>
                <w:sz w:val="24"/>
                <w:highlight w:val="none"/>
                <w:lang w:eastAsia="zh-CN"/>
              </w:rPr>
              <w:t>因此，本项目建设可行。</w:t>
            </w:r>
          </w:p>
          <w:p>
            <w:pPr>
              <w:pageBreakBefore w:val="0"/>
              <w:widowControl w:val="0"/>
              <w:kinsoku/>
              <w:wordWrap/>
              <w:overflowPunct/>
              <w:topLinePunct w:val="0"/>
              <w:bidi w:val="0"/>
              <w:snapToGrid/>
              <w:spacing w:line="460" w:lineRule="exact"/>
              <w:ind w:left="0" w:leftChars="0" w:firstLine="482" w:firstLineChars="200"/>
              <w:textAlignment w:val="auto"/>
              <w:rPr>
                <w:b/>
                <w:bCs/>
                <w:color w:val="auto"/>
                <w:sz w:val="24"/>
                <w:highlight w:val="none"/>
              </w:rPr>
            </w:pPr>
            <w:r>
              <w:rPr>
                <w:b/>
                <w:bCs/>
                <w:color w:val="auto"/>
                <w:sz w:val="24"/>
                <w:highlight w:val="none"/>
              </w:rPr>
              <w:t>6、评价结论</w:t>
            </w:r>
          </w:p>
          <w:p>
            <w:pPr>
              <w:pageBreakBefore w:val="0"/>
              <w:widowControl w:val="0"/>
              <w:kinsoku/>
              <w:wordWrap/>
              <w:overflowPunct/>
              <w:topLinePunct w:val="0"/>
              <w:bidi w:val="0"/>
              <w:snapToGrid/>
              <w:spacing w:line="460" w:lineRule="exact"/>
              <w:ind w:left="0" w:leftChars="0" w:firstLine="482" w:firstLineChars="200"/>
              <w:textAlignment w:val="auto"/>
              <w:rPr>
                <w:color w:val="auto"/>
                <w:sz w:val="24"/>
                <w:highlight w:val="none"/>
              </w:rPr>
            </w:pPr>
            <w:r>
              <w:rPr>
                <w:b/>
                <w:color w:val="auto"/>
                <w:sz w:val="24"/>
                <w:highlight w:val="none"/>
              </w:rPr>
              <w:t>工程的生产规模、工艺技术路线及产品符合国家的产业政策；采用的污染防治措施可实现各类污染物达标排放，污染物排放总量满足总量控制指标的要求；工程投产后对区域环境质量影响较小；拟选厂址符合</w:t>
            </w:r>
            <w:r>
              <w:rPr>
                <w:rFonts w:hint="eastAsia"/>
                <w:b/>
                <w:color w:val="auto"/>
                <w:sz w:val="24"/>
                <w:highlight w:val="none"/>
                <w:lang w:eastAsia="zh-CN"/>
              </w:rPr>
              <w:t>园区</w:t>
            </w:r>
            <w:r>
              <w:rPr>
                <w:b/>
                <w:color w:val="auto"/>
                <w:sz w:val="24"/>
                <w:highlight w:val="none"/>
              </w:rPr>
              <w:t>总体规划，从环保角度出发，项目可行。</w:t>
            </w:r>
          </w:p>
          <w:p>
            <w:pPr>
              <w:pStyle w:val="5"/>
              <w:pageBreakBefore w:val="0"/>
              <w:widowControl w:val="0"/>
              <w:kinsoku/>
              <w:wordWrap/>
              <w:overflowPunct/>
              <w:topLinePunct w:val="0"/>
              <w:bidi w:val="0"/>
              <w:snapToGrid/>
              <w:spacing w:before="0" w:after="0" w:line="460" w:lineRule="exact"/>
              <w:ind w:left="0" w:leftChars="0"/>
              <w:textAlignment w:val="auto"/>
              <w:rPr>
                <w:rFonts w:ascii="Times New Roman" w:hAnsi="Times New Roman" w:eastAsia="宋体"/>
                <w:bCs w:val="0"/>
                <w:color w:val="auto"/>
                <w:sz w:val="24"/>
                <w:szCs w:val="24"/>
                <w:highlight w:val="none"/>
              </w:rPr>
            </w:pPr>
            <w:r>
              <w:rPr>
                <w:rFonts w:ascii="Times New Roman" w:hAnsi="Times New Roman" w:eastAsia="宋体"/>
                <w:bCs w:val="0"/>
                <w:color w:val="auto"/>
                <w:sz w:val="24"/>
                <w:szCs w:val="24"/>
                <w:highlight w:val="none"/>
              </w:rPr>
              <w:t>二、建议</w:t>
            </w:r>
          </w:p>
          <w:p>
            <w:pPr>
              <w:pageBreakBefore w:val="0"/>
              <w:widowControl w:val="0"/>
              <w:kinsoku/>
              <w:wordWrap/>
              <w:overflowPunct/>
              <w:topLinePunct w:val="0"/>
              <w:bidi w:val="0"/>
              <w:snapToGrid/>
              <w:spacing w:line="460" w:lineRule="exact"/>
              <w:ind w:left="0" w:leftChars="0" w:firstLine="480" w:firstLineChars="200"/>
              <w:textAlignment w:val="auto"/>
              <w:rPr>
                <w:color w:val="auto"/>
                <w:sz w:val="24"/>
                <w:highlight w:val="none"/>
              </w:rPr>
            </w:pPr>
            <w:r>
              <w:rPr>
                <w:color w:val="auto"/>
                <w:sz w:val="24"/>
                <w:highlight w:val="none"/>
              </w:rPr>
              <w:t>(1) 严格落实本</w:t>
            </w:r>
            <w:bookmarkStart w:id="3" w:name="_Toc61796748"/>
            <w:r>
              <w:rPr>
                <w:color w:val="auto"/>
                <w:sz w:val="24"/>
                <w:highlight w:val="none"/>
              </w:rPr>
              <w:t>报告表中</w:t>
            </w:r>
            <w:bookmarkEnd w:id="3"/>
            <w:r>
              <w:rPr>
                <w:color w:val="auto"/>
                <w:sz w:val="24"/>
                <w:highlight w:val="none"/>
              </w:rPr>
              <w:t>提出的各项环保措施，确保污染物达标排放。</w:t>
            </w:r>
          </w:p>
          <w:p>
            <w:pPr>
              <w:pageBreakBefore w:val="0"/>
              <w:widowControl w:val="0"/>
              <w:kinsoku/>
              <w:wordWrap/>
              <w:overflowPunct/>
              <w:topLinePunct w:val="0"/>
              <w:bidi w:val="0"/>
              <w:snapToGrid/>
              <w:spacing w:line="460" w:lineRule="exact"/>
              <w:ind w:left="0" w:leftChars="0" w:firstLine="480" w:firstLineChars="200"/>
              <w:textAlignment w:val="auto"/>
              <w:rPr>
                <w:color w:val="auto"/>
                <w:sz w:val="24"/>
                <w:highlight w:val="none"/>
              </w:rPr>
            </w:pPr>
            <w:r>
              <w:rPr>
                <w:color w:val="auto"/>
                <w:sz w:val="24"/>
                <w:highlight w:val="none"/>
              </w:rPr>
              <w:t>(2)</w:t>
            </w:r>
            <w:r>
              <w:rPr>
                <w:b/>
                <w:bCs/>
                <w:color w:val="auto"/>
                <w:sz w:val="24"/>
                <w:highlight w:val="none"/>
              </w:rPr>
              <w:t xml:space="preserve"> </w:t>
            </w:r>
            <w:r>
              <w:rPr>
                <w:color w:val="auto"/>
                <w:sz w:val="24"/>
                <w:highlight w:val="none"/>
              </w:rPr>
              <w:t>建设单位加强管理，加强环保管理，发现问题及时处理，确保治理设施正常运行。</w:t>
            </w:r>
          </w:p>
          <w:p>
            <w:pPr>
              <w:pStyle w:val="40"/>
              <w:rPr>
                <w:color w:val="auto"/>
                <w:sz w:val="24"/>
                <w:highlight w:val="none"/>
              </w:rPr>
            </w:pPr>
          </w:p>
          <w:p>
            <w:pPr>
              <w:pStyle w:val="40"/>
              <w:rPr>
                <w:color w:val="auto"/>
                <w:sz w:val="24"/>
                <w:highlight w:val="none"/>
              </w:rPr>
            </w:pPr>
          </w:p>
          <w:p>
            <w:pPr>
              <w:pStyle w:val="40"/>
              <w:rPr>
                <w:color w:val="auto"/>
                <w:sz w:val="24"/>
                <w:highlight w:val="none"/>
              </w:rPr>
            </w:pPr>
          </w:p>
          <w:p>
            <w:pPr>
              <w:pStyle w:val="40"/>
              <w:rPr>
                <w:color w:val="auto"/>
                <w:sz w:val="24"/>
                <w:highlight w:val="none"/>
              </w:rPr>
            </w:pPr>
          </w:p>
          <w:p>
            <w:pPr>
              <w:pStyle w:val="40"/>
              <w:rPr>
                <w:color w:val="auto"/>
                <w:sz w:val="24"/>
                <w:highlight w:val="none"/>
              </w:rPr>
            </w:pPr>
          </w:p>
          <w:p>
            <w:pPr>
              <w:pStyle w:val="40"/>
              <w:rPr>
                <w:color w:val="auto"/>
                <w:sz w:val="24"/>
                <w:highlight w:val="none"/>
              </w:rPr>
            </w:pPr>
          </w:p>
          <w:p>
            <w:pPr>
              <w:spacing w:line="360" w:lineRule="auto"/>
              <w:rPr>
                <w:rFonts w:hint="eastAsia"/>
                <w:color w:val="auto"/>
                <w:kern w:val="0"/>
                <w:szCs w:val="21"/>
                <w:highlight w:val="none"/>
              </w:rPr>
            </w:pPr>
            <w:r>
              <w:rPr>
                <w:rFonts w:hint="eastAsia"/>
                <w:color w:val="auto"/>
                <w:kern w:val="0"/>
                <w:szCs w:val="21"/>
                <w:highlight w:val="none"/>
              </w:rPr>
              <w:t xml:space="preserve">        </w:t>
            </w:r>
          </w:p>
          <w:p>
            <w:pPr>
              <w:spacing w:line="360" w:lineRule="auto"/>
              <w:rPr>
                <w:rFonts w:hint="eastAsia"/>
                <w:color w:val="auto"/>
                <w:kern w:val="0"/>
                <w:szCs w:val="21"/>
                <w:highlight w:val="none"/>
              </w:rPr>
            </w:pPr>
          </w:p>
          <w:p>
            <w:pPr>
              <w:spacing w:line="360" w:lineRule="auto"/>
              <w:rPr>
                <w:color w:val="auto"/>
                <w:kern w:val="0"/>
                <w:szCs w:val="21"/>
                <w:highlight w:val="none"/>
              </w:rPr>
            </w:pPr>
            <w:r>
              <w:rPr>
                <w:rFonts w:hint="eastAsia"/>
                <w:color w:val="auto"/>
                <w:kern w:val="0"/>
                <w:szCs w:val="21"/>
                <w:highlight w:val="non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gridAfter w:val="1"/>
          <w:wAfter w:w="56" w:type="dxa"/>
          <w:trHeight w:val="20" w:hRule="atLeast"/>
          <w:jc w:val="center"/>
        </w:trPr>
        <w:tc>
          <w:tcPr>
            <w:tcW w:w="9299" w:type="dxa"/>
            <w:vAlign w:val="center"/>
          </w:tcPr>
          <w:p>
            <w:pPr>
              <w:rPr>
                <w:color w:val="auto"/>
                <w:kern w:val="24"/>
                <w:sz w:val="28"/>
                <w:szCs w:val="28"/>
                <w:highlight w:val="none"/>
              </w:rPr>
            </w:pPr>
            <w:r>
              <w:rPr>
                <w:color w:val="auto"/>
                <w:kern w:val="24"/>
                <w:sz w:val="28"/>
                <w:szCs w:val="28"/>
                <w:highlight w:val="none"/>
              </w:rPr>
              <w:t>预审意见：</w:t>
            </w:r>
          </w:p>
          <w:p>
            <w:pPr>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ind w:firstLine="6720" w:firstLineChars="2400"/>
              <w:rPr>
                <w:color w:val="auto"/>
                <w:kern w:val="24"/>
                <w:sz w:val="28"/>
                <w:szCs w:val="28"/>
                <w:highlight w:val="none"/>
              </w:rPr>
            </w:pPr>
            <w:r>
              <w:rPr>
                <w:color w:val="auto"/>
                <w:kern w:val="24"/>
                <w:sz w:val="28"/>
                <w:szCs w:val="28"/>
                <w:highlight w:val="none"/>
              </w:rPr>
              <w:t>公章</w:t>
            </w:r>
          </w:p>
          <w:p>
            <w:pPr>
              <w:spacing w:line="0" w:lineRule="atLeast"/>
              <w:rPr>
                <w:color w:val="auto"/>
                <w:kern w:val="24"/>
                <w:sz w:val="28"/>
                <w:szCs w:val="28"/>
                <w:highlight w:val="none"/>
              </w:rPr>
            </w:pPr>
          </w:p>
          <w:p>
            <w:pPr>
              <w:spacing w:line="0" w:lineRule="atLeast"/>
              <w:rPr>
                <w:color w:val="auto"/>
                <w:kern w:val="24"/>
                <w:sz w:val="28"/>
                <w:szCs w:val="28"/>
                <w:highlight w:val="none"/>
              </w:rPr>
            </w:pPr>
            <w:r>
              <w:rPr>
                <w:color w:val="auto"/>
                <w:kern w:val="24"/>
                <w:sz w:val="28"/>
                <w:szCs w:val="28"/>
                <w:highlight w:val="none"/>
              </w:rPr>
              <w:t>经办人：                                      年    月    日</w:t>
            </w:r>
          </w:p>
          <w:p>
            <w:pPr>
              <w:spacing w:line="0" w:lineRule="atLeast"/>
              <w:rPr>
                <w:color w:val="auto"/>
                <w:kern w:val="24"/>
                <w:sz w:val="28"/>
                <w:szCs w:val="28"/>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gridAfter w:val="1"/>
          <w:wAfter w:w="56" w:type="dxa"/>
          <w:trHeight w:val="20" w:hRule="atLeast"/>
          <w:jc w:val="center"/>
        </w:trPr>
        <w:tc>
          <w:tcPr>
            <w:tcW w:w="9299" w:type="dxa"/>
            <w:vAlign w:val="center"/>
          </w:tcPr>
          <w:p>
            <w:pPr>
              <w:rPr>
                <w:color w:val="auto"/>
                <w:kern w:val="24"/>
                <w:sz w:val="28"/>
                <w:szCs w:val="28"/>
                <w:highlight w:val="none"/>
              </w:rPr>
            </w:pPr>
            <w:r>
              <w:rPr>
                <w:color w:val="auto"/>
                <w:kern w:val="24"/>
                <w:sz w:val="28"/>
                <w:szCs w:val="28"/>
                <w:highlight w:val="none"/>
              </w:rPr>
              <w:t>下一级环境保护行政主管部门审查意见：</w:t>
            </w: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pStyle w:val="2"/>
              <w:rPr>
                <w:rFonts w:ascii="Times New Roman"/>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r>
              <w:rPr>
                <w:color w:val="auto"/>
                <w:kern w:val="24"/>
                <w:sz w:val="28"/>
                <w:szCs w:val="28"/>
                <w:highlight w:val="none"/>
              </w:rPr>
              <w:t>公章</w:t>
            </w:r>
          </w:p>
          <w:p>
            <w:pPr>
              <w:spacing w:line="0" w:lineRule="atLeast"/>
              <w:rPr>
                <w:color w:val="auto"/>
                <w:kern w:val="24"/>
                <w:sz w:val="28"/>
                <w:szCs w:val="28"/>
                <w:highlight w:val="none"/>
              </w:rPr>
            </w:pPr>
          </w:p>
          <w:p>
            <w:pPr>
              <w:spacing w:line="0" w:lineRule="atLeast"/>
              <w:rPr>
                <w:color w:val="auto"/>
                <w:kern w:val="24"/>
                <w:sz w:val="28"/>
                <w:szCs w:val="28"/>
                <w:highlight w:val="none"/>
              </w:rPr>
            </w:pPr>
            <w:r>
              <w:rPr>
                <w:color w:val="auto"/>
                <w:kern w:val="24"/>
                <w:sz w:val="28"/>
                <w:szCs w:val="28"/>
                <w:highlight w:val="none"/>
              </w:rPr>
              <w:t>经办人：                                      年    月    日</w:t>
            </w:r>
          </w:p>
          <w:p>
            <w:pPr>
              <w:spacing w:line="0" w:lineRule="atLeast"/>
              <w:rPr>
                <w:color w:val="auto"/>
                <w:kern w:val="24"/>
                <w:sz w:val="28"/>
                <w:szCs w:val="28"/>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gridAfter w:val="1"/>
          <w:wAfter w:w="56" w:type="dxa"/>
          <w:trHeight w:val="20" w:hRule="atLeast"/>
          <w:jc w:val="center"/>
        </w:trPr>
        <w:tc>
          <w:tcPr>
            <w:tcW w:w="9299" w:type="dxa"/>
            <w:tcBorders>
              <w:top w:val="single" w:color="auto" w:sz="2" w:space="0"/>
              <w:left w:val="single" w:color="auto" w:sz="2" w:space="0"/>
              <w:bottom w:val="single" w:color="auto" w:sz="2" w:space="0"/>
              <w:right w:val="single" w:color="auto" w:sz="2" w:space="0"/>
            </w:tcBorders>
            <w:vAlign w:val="center"/>
          </w:tcPr>
          <w:p>
            <w:pPr>
              <w:spacing w:line="0" w:lineRule="atLeast"/>
              <w:rPr>
                <w:color w:val="auto"/>
                <w:kern w:val="24"/>
                <w:sz w:val="28"/>
                <w:szCs w:val="28"/>
                <w:highlight w:val="none"/>
              </w:rPr>
            </w:pPr>
            <w:r>
              <w:rPr>
                <w:color w:val="auto"/>
                <w:kern w:val="24"/>
                <w:sz w:val="28"/>
                <w:szCs w:val="28"/>
                <w:highlight w:val="none"/>
              </w:rPr>
              <w:t>审批意见：</w:t>
            </w: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r>
              <w:rPr>
                <w:color w:val="auto"/>
                <w:kern w:val="24"/>
                <w:sz w:val="28"/>
                <w:szCs w:val="28"/>
                <w:highlight w:val="none"/>
              </w:rPr>
              <w:t>公章</w:t>
            </w: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p>
          <w:p>
            <w:pPr>
              <w:spacing w:line="0" w:lineRule="atLeast"/>
              <w:rPr>
                <w:color w:val="auto"/>
                <w:kern w:val="24"/>
                <w:sz w:val="28"/>
                <w:szCs w:val="28"/>
                <w:highlight w:val="none"/>
              </w:rPr>
            </w:pPr>
            <w:r>
              <w:rPr>
                <w:color w:val="auto"/>
                <w:kern w:val="24"/>
                <w:sz w:val="28"/>
                <w:szCs w:val="28"/>
                <w:highlight w:val="none"/>
              </w:rPr>
              <w:t>经办人：                                      年    月    日</w:t>
            </w:r>
          </w:p>
          <w:p>
            <w:pPr>
              <w:spacing w:line="0" w:lineRule="atLeast"/>
              <w:rPr>
                <w:color w:val="auto"/>
                <w:kern w:val="24"/>
                <w:sz w:val="24"/>
                <w:highlight w:val="none"/>
              </w:rPr>
            </w:pPr>
          </w:p>
        </w:tc>
      </w:tr>
    </w:tbl>
    <w:p>
      <w:pPr>
        <w:rPr>
          <w:color w:val="auto"/>
          <w:highlight w:val="none"/>
        </w:rPr>
      </w:pPr>
    </w:p>
    <w:p>
      <w:pPr>
        <w:rPr>
          <w:color w:val="auto"/>
          <w:highlight w:val="none"/>
        </w:rPr>
      </w:pPr>
    </w:p>
    <w:sectPr>
      <w:footerReference r:id="rId3" w:type="default"/>
      <w:pgSz w:w="11906" w:h="16838"/>
      <w:pgMar w:top="1440" w:right="1247" w:bottom="1440" w:left="1474" w:header="851" w:footer="992" w:gutter="0"/>
      <w:pgBorders>
        <w:top w:val="none" w:sz="0" w:space="0"/>
        <w:left w:val="none" w:sz="0" w:space="0"/>
        <w:bottom w:val="none" w:sz="0" w:space="0"/>
        <w:right w:val="none" w:sz="0" w:space="0"/>
      </w:pgBorders>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NewRomanPSMT">
    <w:altName w:val="Times New Roman"/>
    <w:panose1 w:val="00000000000000000000"/>
    <w:charset w:val="00"/>
    <w:family w:val="auto"/>
    <w:pitch w:val="default"/>
    <w:sig w:usb0="00000000" w:usb1="00000000" w:usb2="00000000" w:usb3="00000000" w:csb0="00000001" w:csb1="00000000"/>
  </w:font>
  <w:font w:name="Helvetica">
    <w:panose1 w:val="020B0504020202030204"/>
    <w:charset w:val="00"/>
    <w:family w:val="auto"/>
    <w:pitch w:val="default"/>
    <w:sig w:usb0="00000007" w:usb1="00000000" w:usb2="00000000" w:usb3="00000000" w:csb0="00000093"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eGtTLcBAABXAwAADgAAAAAAAAABACAAAAAiAQAAZHJzL2Uyb0RvYy54bWxQSwUGAAAAAAYA&#10;BgBZAQAASwUAAAAA&#10;">
          <v:path/>
          <v:fill on="f" focussize="0,0"/>
          <v:stroke on="f" weight="1.25pt" joinstyle="miter"/>
          <v:imagedata o:title=""/>
          <o:lock v:ext="edit"/>
          <v:textbox inset="0mm,0mm,0mm,0mm" style="mso-fit-shape-to-text:t;">
            <w:txbxContent>
              <w:p>
                <w:pPr>
                  <w:pStyle w:val="25"/>
                </w:pPr>
                <w:r>
                  <w:rPr>
                    <w:rFonts w:hint="eastAsia"/>
                  </w:rPr>
                  <w:fldChar w:fldCharType="begin"/>
                </w:r>
                <w:r>
                  <w:rPr>
                    <w:rFonts w:hint="eastAsia"/>
                  </w:rPr>
                  <w:instrText xml:space="preserve"> PAGE  \* MERGEFORMAT </w:instrText>
                </w:r>
                <w:r>
                  <w:rPr>
                    <w:rFonts w:hint="eastAsia"/>
                  </w:rPr>
                  <w:fldChar w:fldCharType="separate"/>
                </w:r>
                <w:r>
                  <w:t>55</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15E09"/>
    <w:multiLevelType w:val="singleLevel"/>
    <w:tmpl w:val="0CC15E09"/>
    <w:lvl w:ilvl="0" w:tentative="0">
      <w:start w:val="1"/>
      <w:numFmt w:val="bullet"/>
      <w:pStyle w:val="23"/>
      <w:lvlText w:val=""/>
      <w:lvlJc w:val="left"/>
      <w:pPr>
        <w:tabs>
          <w:tab w:val="left" w:pos="2040"/>
        </w:tabs>
        <w:ind w:left="2040" w:hanging="360"/>
      </w:pPr>
      <w:rPr>
        <w:rFonts w:hint="default" w:ascii="Wingdings" w:hAnsi="Wingdings"/>
      </w:rPr>
    </w:lvl>
  </w:abstractNum>
  <w:abstractNum w:abstractNumId="1">
    <w:nsid w:val="1912C51F"/>
    <w:multiLevelType w:val="singleLevel"/>
    <w:tmpl w:val="1912C51F"/>
    <w:lvl w:ilvl="0" w:tentative="0">
      <w:start w:val="1"/>
      <w:numFmt w:val="decimal"/>
      <w:suff w:val="nothing"/>
      <w:lvlText w:val="%1、"/>
      <w:lvlJc w:val="left"/>
    </w:lvl>
  </w:abstractNum>
  <w:abstractNum w:abstractNumId="2">
    <w:nsid w:val="1F98914C"/>
    <w:multiLevelType w:val="singleLevel"/>
    <w:tmpl w:val="1F98914C"/>
    <w:lvl w:ilvl="0" w:tentative="0">
      <w:start w:val="2"/>
      <w:numFmt w:val="decimal"/>
      <w:suff w:val="nothing"/>
      <w:lvlText w:val="%1、"/>
      <w:lvlJc w:val="left"/>
    </w:lvl>
  </w:abstractNum>
  <w:abstractNum w:abstractNumId="3">
    <w:nsid w:val="3F64A084"/>
    <w:multiLevelType w:val="singleLevel"/>
    <w:tmpl w:val="3F64A084"/>
    <w:lvl w:ilvl="0" w:tentative="0">
      <w:start w:val="1"/>
      <w:numFmt w:val="decimal"/>
      <w:suff w:val="nothing"/>
      <w:lvlText w:val="%1、"/>
      <w:lvlJc w:val="left"/>
    </w:lvl>
  </w:abstractNum>
  <w:abstractNum w:abstractNumId="4">
    <w:nsid w:val="51F31CB3"/>
    <w:multiLevelType w:val="singleLevel"/>
    <w:tmpl w:val="51F31CB3"/>
    <w:lvl w:ilvl="0" w:tentative="0">
      <w:start w:val="1"/>
      <w:numFmt w:val="decimal"/>
      <w:suff w:val="nothing"/>
      <w:lvlText w:val="%1、"/>
      <w:lvlJc w:val="left"/>
    </w:lvl>
  </w:abstractNum>
  <w:abstractNum w:abstractNumId="5">
    <w:nsid w:val="567DFE3A"/>
    <w:multiLevelType w:val="singleLevel"/>
    <w:tmpl w:val="567DFE3A"/>
    <w:lvl w:ilvl="0" w:tentative="0">
      <w:start w:val="7"/>
      <w:numFmt w:val="decimal"/>
      <w:suff w:val="nothing"/>
      <w:lvlText w:val="（%1）"/>
      <w:lvlJc w:val="left"/>
    </w:lvl>
  </w:abstractNum>
  <w:abstractNum w:abstractNumId="6">
    <w:nsid w:val="6581FA87"/>
    <w:multiLevelType w:val="singleLevel"/>
    <w:tmpl w:val="6581FA87"/>
    <w:lvl w:ilvl="0" w:tentative="0">
      <w:start w:val="1"/>
      <w:numFmt w:val="decimal"/>
      <w:suff w:val="nothing"/>
      <w:lvlText w:val="%1、"/>
      <w:lvlJc w:val="left"/>
    </w:lvl>
  </w:abstractNum>
  <w:abstractNum w:abstractNumId="7">
    <w:nsid w:val="7192BE88"/>
    <w:multiLevelType w:val="singleLevel"/>
    <w:tmpl w:val="7192BE88"/>
    <w:lvl w:ilvl="0" w:tentative="0">
      <w:start w:val="1"/>
      <w:numFmt w:val="decimal"/>
      <w:suff w:val="nothing"/>
      <w:lvlText w:val="（%1）"/>
      <w:lvlJc w:val="left"/>
    </w:lvl>
  </w:abstractNum>
  <w:num w:numId="1">
    <w:abstractNumId w:val="0"/>
  </w:num>
  <w:num w:numId="2">
    <w:abstractNumId w:val="5"/>
  </w:num>
  <w:num w:numId="3">
    <w:abstractNumId w:val="6"/>
  </w:num>
  <w:num w:numId="4">
    <w:abstractNumId w:val="7"/>
  </w:num>
  <w:num w:numId="5">
    <w:abstractNumId w:val="1"/>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2D990DD2"/>
    <w:rsid w:val="00006B7A"/>
    <w:rsid w:val="00040246"/>
    <w:rsid w:val="00057DED"/>
    <w:rsid w:val="000728BF"/>
    <w:rsid w:val="0007525E"/>
    <w:rsid w:val="00076657"/>
    <w:rsid w:val="000F3B07"/>
    <w:rsid w:val="001113C9"/>
    <w:rsid w:val="00122937"/>
    <w:rsid w:val="00166317"/>
    <w:rsid w:val="00194305"/>
    <w:rsid w:val="001A4007"/>
    <w:rsid w:val="001C4D18"/>
    <w:rsid w:val="001C52E0"/>
    <w:rsid w:val="001D628D"/>
    <w:rsid w:val="001E6BAB"/>
    <w:rsid w:val="001F1C91"/>
    <w:rsid w:val="0020661D"/>
    <w:rsid w:val="00221AD3"/>
    <w:rsid w:val="00225BC0"/>
    <w:rsid w:val="00230290"/>
    <w:rsid w:val="00233872"/>
    <w:rsid w:val="0026536E"/>
    <w:rsid w:val="002D7F50"/>
    <w:rsid w:val="002F5579"/>
    <w:rsid w:val="003032D2"/>
    <w:rsid w:val="00315098"/>
    <w:rsid w:val="00324DE3"/>
    <w:rsid w:val="00333003"/>
    <w:rsid w:val="00385431"/>
    <w:rsid w:val="00390B94"/>
    <w:rsid w:val="003A2D07"/>
    <w:rsid w:val="003A58BC"/>
    <w:rsid w:val="003C398A"/>
    <w:rsid w:val="004267CB"/>
    <w:rsid w:val="004400FE"/>
    <w:rsid w:val="00442388"/>
    <w:rsid w:val="00464FF5"/>
    <w:rsid w:val="004701C6"/>
    <w:rsid w:val="0047332B"/>
    <w:rsid w:val="00496C1F"/>
    <w:rsid w:val="004A1607"/>
    <w:rsid w:val="004A2D95"/>
    <w:rsid w:val="004C6E0A"/>
    <w:rsid w:val="004D6018"/>
    <w:rsid w:val="00522128"/>
    <w:rsid w:val="005547AD"/>
    <w:rsid w:val="00590F08"/>
    <w:rsid w:val="005B2D95"/>
    <w:rsid w:val="005B402C"/>
    <w:rsid w:val="005C68E0"/>
    <w:rsid w:val="005E7207"/>
    <w:rsid w:val="005F17FA"/>
    <w:rsid w:val="0061480D"/>
    <w:rsid w:val="0062051B"/>
    <w:rsid w:val="00641122"/>
    <w:rsid w:val="006430E6"/>
    <w:rsid w:val="0065670E"/>
    <w:rsid w:val="006A1208"/>
    <w:rsid w:val="006A6880"/>
    <w:rsid w:val="006B72EA"/>
    <w:rsid w:val="006E782E"/>
    <w:rsid w:val="007048C6"/>
    <w:rsid w:val="00746392"/>
    <w:rsid w:val="0077616C"/>
    <w:rsid w:val="007B56A3"/>
    <w:rsid w:val="007B745E"/>
    <w:rsid w:val="007C1A1C"/>
    <w:rsid w:val="007D66D7"/>
    <w:rsid w:val="008117AD"/>
    <w:rsid w:val="00821FD5"/>
    <w:rsid w:val="008349B3"/>
    <w:rsid w:val="0086327F"/>
    <w:rsid w:val="00864D56"/>
    <w:rsid w:val="008726D7"/>
    <w:rsid w:val="008765F2"/>
    <w:rsid w:val="008F30E5"/>
    <w:rsid w:val="008F7DE4"/>
    <w:rsid w:val="0090040C"/>
    <w:rsid w:val="00943119"/>
    <w:rsid w:val="00945A20"/>
    <w:rsid w:val="009546B5"/>
    <w:rsid w:val="00974AC4"/>
    <w:rsid w:val="00991657"/>
    <w:rsid w:val="009944AF"/>
    <w:rsid w:val="009A0C15"/>
    <w:rsid w:val="00A22140"/>
    <w:rsid w:val="00A22714"/>
    <w:rsid w:val="00A34A59"/>
    <w:rsid w:val="00A35BCB"/>
    <w:rsid w:val="00A372E1"/>
    <w:rsid w:val="00AB4937"/>
    <w:rsid w:val="00AB7CF1"/>
    <w:rsid w:val="00AD2EB5"/>
    <w:rsid w:val="00AE3E9D"/>
    <w:rsid w:val="00AF6BEC"/>
    <w:rsid w:val="00B021F5"/>
    <w:rsid w:val="00B06D06"/>
    <w:rsid w:val="00B50F60"/>
    <w:rsid w:val="00B51131"/>
    <w:rsid w:val="00B72B33"/>
    <w:rsid w:val="00B808CB"/>
    <w:rsid w:val="00BF3FB6"/>
    <w:rsid w:val="00BF475B"/>
    <w:rsid w:val="00BF675F"/>
    <w:rsid w:val="00BF7E6E"/>
    <w:rsid w:val="00C0679E"/>
    <w:rsid w:val="00C5646B"/>
    <w:rsid w:val="00C64804"/>
    <w:rsid w:val="00C65BAA"/>
    <w:rsid w:val="00C72609"/>
    <w:rsid w:val="00C81684"/>
    <w:rsid w:val="00CC3484"/>
    <w:rsid w:val="00CD16E2"/>
    <w:rsid w:val="00CF2CD7"/>
    <w:rsid w:val="00D053C7"/>
    <w:rsid w:val="00D133C0"/>
    <w:rsid w:val="00D154E1"/>
    <w:rsid w:val="00D557D9"/>
    <w:rsid w:val="00D55D60"/>
    <w:rsid w:val="00D65710"/>
    <w:rsid w:val="00D7013D"/>
    <w:rsid w:val="00D72D79"/>
    <w:rsid w:val="00D775AC"/>
    <w:rsid w:val="00DA14AC"/>
    <w:rsid w:val="00DB79FC"/>
    <w:rsid w:val="00DF1465"/>
    <w:rsid w:val="00E15180"/>
    <w:rsid w:val="00E41374"/>
    <w:rsid w:val="00E42683"/>
    <w:rsid w:val="00E70D4B"/>
    <w:rsid w:val="00E71C3E"/>
    <w:rsid w:val="00E73854"/>
    <w:rsid w:val="00E93D52"/>
    <w:rsid w:val="00EA0644"/>
    <w:rsid w:val="00EA3A78"/>
    <w:rsid w:val="00EC2EE2"/>
    <w:rsid w:val="00EE3301"/>
    <w:rsid w:val="00EF212D"/>
    <w:rsid w:val="00F1758B"/>
    <w:rsid w:val="00F46857"/>
    <w:rsid w:val="00F66A00"/>
    <w:rsid w:val="00FB0862"/>
    <w:rsid w:val="00FB7F48"/>
    <w:rsid w:val="00FC3C3A"/>
    <w:rsid w:val="00FF60BE"/>
    <w:rsid w:val="01005E03"/>
    <w:rsid w:val="01121E5F"/>
    <w:rsid w:val="011B03BA"/>
    <w:rsid w:val="013F6AD9"/>
    <w:rsid w:val="014B4F64"/>
    <w:rsid w:val="0152451B"/>
    <w:rsid w:val="01566A59"/>
    <w:rsid w:val="0157398F"/>
    <w:rsid w:val="015801EC"/>
    <w:rsid w:val="01675307"/>
    <w:rsid w:val="01676E29"/>
    <w:rsid w:val="01724923"/>
    <w:rsid w:val="018165BE"/>
    <w:rsid w:val="01845855"/>
    <w:rsid w:val="01885653"/>
    <w:rsid w:val="01916F66"/>
    <w:rsid w:val="01A3204E"/>
    <w:rsid w:val="01AD35FF"/>
    <w:rsid w:val="01AF7171"/>
    <w:rsid w:val="01B801AD"/>
    <w:rsid w:val="01C262D3"/>
    <w:rsid w:val="01DA0D32"/>
    <w:rsid w:val="02005A6F"/>
    <w:rsid w:val="02100437"/>
    <w:rsid w:val="0214630B"/>
    <w:rsid w:val="02195139"/>
    <w:rsid w:val="0224206B"/>
    <w:rsid w:val="02294E02"/>
    <w:rsid w:val="022D4521"/>
    <w:rsid w:val="02300E53"/>
    <w:rsid w:val="02444E21"/>
    <w:rsid w:val="024E0F4A"/>
    <w:rsid w:val="025956F4"/>
    <w:rsid w:val="025E4337"/>
    <w:rsid w:val="02643922"/>
    <w:rsid w:val="026928DC"/>
    <w:rsid w:val="026A3E28"/>
    <w:rsid w:val="026D66BD"/>
    <w:rsid w:val="02891613"/>
    <w:rsid w:val="028B22C4"/>
    <w:rsid w:val="028F3C6C"/>
    <w:rsid w:val="028F6FAA"/>
    <w:rsid w:val="02973830"/>
    <w:rsid w:val="029B1B98"/>
    <w:rsid w:val="029C5FD5"/>
    <w:rsid w:val="029E4268"/>
    <w:rsid w:val="02A67751"/>
    <w:rsid w:val="02B5659E"/>
    <w:rsid w:val="02CE02C3"/>
    <w:rsid w:val="02D07B44"/>
    <w:rsid w:val="02D6702D"/>
    <w:rsid w:val="02D855F7"/>
    <w:rsid w:val="02E80CB6"/>
    <w:rsid w:val="02ED2438"/>
    <w:rsid w:val="02FC472C"/>
    <w:rsid w:val="030B6180"/>
    <w:rsid w:val="03124433"/>
    <w:rsid w:val="031A64A1"/>
    <w:rsid w:val="031C6E89"/>
    <w:rsid w:val="031E67CD"/>
    <w:rsid w:val="032D15E4"/>
    <w:rsid w:val="03311A1F"/>
    <w:rsid w:val="03397975"/>
    <w:rsid w:val="03457081"/>
    <w:rsid w:val="03517C87"/>
    <w:rsid w:val="035270F7"/>
    <w:rsid w:val="03540EE4"/>
    <w:rsid w:val="03644BCF"/>
    <w:rsid w:val="036C54CA"/>
    <w:rsid w:val="03787CB5"/>
    <w:rsid w:val="037C6EB8"/>
    <w:rsid w:val="037E6ADA"/>
    <w:rsid w:val="038E4A2A"/>
    <w:rsid w:val="039B0116"/>
    <w:rsid w:val="039B32E0"/>
    <w:rsid w:val="03AE4B25"/>
    <w:rsid w:val="03B649B8"/>
    <w:rsid w:val="03BA7A6C"/>
    <w:rsid w:val="03BB37C1"/>
    <w:rsid w:val="03C405AF"/>
    <w:rsid w:val="03C71938"/>
    <w:rsid w:val="03DA535B"/>
    <w:rsid w:val="03DC62B9"/>
    <w:rsid w:val="03EA7C17"/>
    <w:rsid w:val="0413161B"/>
    <w:rsid w:val="041A1C84"/>
    <w:rsid w:val="041D592F"/>
    <w:rsid w:val="041E3136"/>
    <w:rsid w:val="042A66AC"/>
    <w:rsid w:val="043710C2"/>
    <w:rsid w:val="043A43FB"/>
    <w:rsid w:val="044F334C"/>
    <w:rsid w:val="04577A50"/>
    <w:rsid w:val="04677AD6"/>
    <w:rsid w:val="046D425B"/>
    <w:rsid w:val="04717C88"/>
    <w:rsid w:val="0473785D"/>
    <w:rsid w:val="04791EF4"/>
    <w:rsid w:val="048E210B"/>
    <w:rsid w:val="0499689D"/>
    <w:rsid w:val="04BA68D0"/>
    <w:rsid w:val="04BB4791"/>
    <w:rsid w:val="04CD20B9"/>
    <w:rsid w:val="04E44F95"/>
    <w:rsid w:val="04F93A35"/>
    <w:rsid w:val="050D3749"/>
    <w:rsid w:val="051104C7"/>
    <w:rsid w:val="051D0DE3"/>
    <w:rsid w:val="05202F50"/>
    <w:rsid w:val="05217E96"/>
    <w:rsid w:val="052238CB"/>
    <w:rsid w:val="052B41CB"/>
    <w:rsid w:val="05327CB4"/>
    <w:rsid w:val="05356738"/>
    <w:rsid w:val="0539308D"/>
    <w:rsid w:val="0556348F"/>
    <w:rsid w:val="05725522"/>
    <w:rsid w:val="05725578"/>
    <w:rsid w:val="05826879"/>
    <w:rsid w:val="058B0571"/>
    <w:rsid w:val="0590456A"/>
    <w:rsid w:val="05A0517E"/>
    <w:rsid w:val="05A23BEB"/>
    <w:rsid w:val="05A7541D"/>
    <w:rsid w:val="05A9493B"/>
    <w:rsid w:val="05BD2876"/>
    <w:rsid w:val="05BF2949"/>
    <w:rsid w:val="05CE6681"/>
    <w:rsid w:val="05D84FBC"/>
    <w:rsid w:val="05E22BCB"/>
    <w:rsid w:val="05E759D4"/>
    <w:rsid w:val="05EF653D"/>
    <w:rsid w:val="05F12EB2"/>
    <w:rsid w:val="05FB24EB"/>
    <w:rsid w:val="05FD60F7"/>
    <w:rsid w:val="0611266B"/>
    <w:rsid w:val="061541AA"/>
    <w:rsid w:val="061F6E74"/>
    <w:rsid w:val="0626178F"/>
    <w:rsid w:val="06263FCE"/>
    <w:rsid w:val="062A3F94"/>
    <w:rsid w:val="065B694D"/>
    <w:rsid w:val="067360C6"/>
    <w:rsid w:val="0676789E"/>
    <w:rsid w:val="068B37A6"/>
    <w:rsid w:val="06951F33"/>
    <w:rsid w:val="06A36A83"/>
    <w:rsid w:val="06BD7CD0"/>
    <w:rsid w:val="06DF0753"/>
    <w:rsid w:val="06F706B5"/>
    <w:rsid w:val="06F878B8"/>
    <w:rsid w:val="07030107"/>
    <w:rsid w:val="07060597"/>
    <w:rsid w:val="070A4DDF"/>
    <w:rsid w:val="072C1981"/>
    <w:rsid w:val="072C1F70"/>
    <w:rsid w:val="072C5667"/>
    <w:rsid w:val="072C60C6"/>
    <w:rsid w:val="07304BB1"/>
    <w:rsid w:val="07330D59"/>
    <w:rsid w:val="073519D5"/>
    <w:rsid w:val="073620CA"/>
    <w:rsid w:val="074617CC"/>
    <w:rsid w:val="07486BD5"/>
    <w:rsid w:val="075037C3"/>
    <w:rsid w:val="075307AD"/>
    <w:rsid w:val="0755162F"/>
    <w:rsid w:val="075C49F6"/>
    <w:rsid w:val="075C5D58"/>
    <w:rsid w:val="07635D4A"/>
    <w:rsid w:val="076E5A18"/>
    <w:rsid w:val="077A315A"/>
    <w:rsid w:val="077A4BF2"/>
    <w:rsid w:val="07803DE5"/>
    <w:rsid w:val="07887B31"/>
    <w:rsid w:val="078D5DCD"/>
    <w:rsid w:val="07923F30"/>
    <w:rsid w:val="07A760C2"/>
    <w:rsid w:val="07AF2589"/>
    <w:rsid w:val="07B840F9"/>
    <w:rsid w:val="07CD7E29"/>
    <w:rsid w:val="07D24082"/>
    <w:rsid w:val="07F4438B"/>
    <w:rsid w:val="080D7BA6"/>
    <w:rsid w:val="08164DE1"/>
    <w:rsid w:val="082B28B4"/>
    <w:rsid w:val="082D6BDE"/>
    <w:rsid w:val="0834264B"/>
    <w:rsid w:val="08433453"/>
    <w:rsid w:val="08593970"/>
    <w:rsid w:val="08594F71"/>
    <w:rsid w:val="0868133C"/>
    <w:rsid w:val="08750B8D"/>
    <w:rsid w:val="087800E9"/>
    <w:rsid w:val="08914097"/>
    <w:rsid w:val="08A35C6D"/>
    <w:rsid w:val="08AD068A"/>
    <w:rsid w:val="08AD1003"/>
    <w:rsid w:val="08B31055"/>
    <w:rsid w:val="08B401CB"/>
    <w:rsid w:val="08B5029C"/>
    <w:rsid w:val="08C56A5C"/>
    <w:rsid w:val="08DA5197"/>
    <w:rsid w:val="08DC1167"/>
    <w:rsid w:val="08DC618B"/>
    <w:rsid w:val="08E66B44"/>
    <w:rsid w:val="08EF5270"/>
    <w:rsid w:val="08F578E9"/>
    <w:rsid w:val="090C1F46"/>
    <w:rsid w:val="090D1929"/>
    <w:rsid w:val="09156B09"/>
    <w:rsid w:val="09185746"/>
    <w:rsid w:val="091A550C"/>
    <w:rsid w:val="09226606"/>
    <w:rsid w:val="0923643C"/>
    <w:rsid w:val="09257D4F"/>
    <w:rsid w:val="09281100"/>
    <w:rsid w:val="09331541"/>
    <w:rsid w:val="0936503D"/>
    <w:rsid w:val="094B5C1A"/>
    <w:rsid w:val="09510E93"/>
    <w:rsid w:val="09810A64"/>
    <w:rsid w:val="09811B1B"/>
    <w:rsid w:val="098B34DE"/>
    <w:rsid w:val="098F3E93"/>
    <w:rsid w:val="09911C48"/>
    <w:rsid w:val="09990936"/>
    <w:rsid w:val="09A518EA"/>
    <w:rsid w:val="09AD728B"/>
    <w:rsid w:val="09B621AC"/>
    <w:rsid w:val="09C43871"/>
    <w:rsid w:val="09CA488C"/>
    <w:rsid w:val="09D865FA"/>
    <w:rsid w:val="09DF15A2"/>
    <w:rsid w:val="09E0464C"/>
    <w:rsid w:val="09EF66EE"/>
    <w:rsid w:val="0A061210"/>
    <w:rsid w:val="0A120FF2"/>
    <w:rsid w:val="0A14668F"/>
    <w:rsid w:val="0A2E5449"/>
    <w:rsid w:val="0A2F3B42"/>
    <w:rsid w:val="0A445F1E"/>
    <w:rsid w:val="0A4B0275"/>
    <w:rsid w:val="0A537D32"/>
    <w:rsid w:val="0A5663E4"/>
    <w:rsid w:val="0A575C2A"/>
    <w:rsid w:val="0A577933"/>
    <w:rsid w:val="0A6201C3"/>
    <w:rsid w:val="0A7155FA"/>
    <w:rsid w:val="0A993F70"/>
    <w:rsid w:val="0ABC057B"/>
    <w:rsid w:val="0ABD7DB4"/>
    <w:rsid w:val="0ACB09D2"/>
    <w:rsid w:val="0ACB13B4"/>
    <w:rsid w:val="0AD955D7"/>
    <w:rsid w:val="0AF302B4"/>
    <w:rsid w:val="0B084D31"/>
    <w:rsid w:val="0B0E1321"/>
    <w:rsid w:val="0B1A78DE"/>
    <w:rsid w:val="0B21539A"/>
    <w:rsid w:val="0B36136B"/>
    <w:rsid w:val="0B3C524B"/>
    <w:rsid w:val="0B3F6371"/>
    <w:rsid w:val="0B5012EF"/>
    <w:rsid w:val="0B6161F9"/>
    <w:rsid w:val="0B645F0A"/>
    <w:rsid w:val="0B7344E7"/>
    <w:rsid w:val="0B752B59"/>
    <w:rsid w:val="0B7808AE"/>
    <w:rsid w:val="0B813163"/>
    <w:rsid w:val="0B8804B8"/>
    <w:rsid w:val="0B903095"/>
    <w:rsid w:val="0BA07BB0"/>
    <w:rsid w:val="0BA367A7"/>
    <w:rsid w:val="0BA91402"/>
    <w:rsid w:val="0BA91C76"/>
    <w:rsid w:val="0BAD67D1"/>
    <w:rsid w:val="0BB4029A"/>
    <w:rsid w:val="0BCA5B7F"/>
    <w:rsid w:val="0BCF2CCA"/>
    <w:rsid w:val="0BCF40CA"/>
    <w:rsid w:val="0BE43659"/>
    <w:rsid w:val="0BF84A42"/>
    <w:rsid w:val="0C0440CC"/>
    <w:rsid w:val="0C0B71A1"/>
    <w:rsid w:val="0C0D57BC"/>
    <w:rsid w:val="0C1A585E"/>
    <w:rsid w:val="0C1A7812"/>
    <w:rsid w:val="0C3843DE"/>
    <w:rsid w:val="0C3D7842"/>
    <w:rsid w:val="0C406BBE"/>
    <w:rsid w:val="0C48162D"/>
    <w:rsid w:val="0C60432B"/>
    <w:rsid w:val="0C752370"/>
    <w:rsid w:val="0C7A6E0A"/>
    <w:rsid w:val="0C843814"/>
    <w:rsid w:val="0C9A6C02"/>
    <w:rsid w:val="0CBA2B5E"/>
    <w:rsid w:val="0CE902D9"/>
    <w:rsid w:val="0CFE13AB"/>
    <w:rsid w:val="0CFE4735"/>
    <w:rsid w:val="0D0071C9"/>
    <w:rsid w:val="0D050968"/>
    <w:rsid w:val="0D0C00AF"/>
    <w:rsid w:val="0D1278CD"/>
    <w:rsid w:val="0D1F4F4A"/>
    <w:rsid w:val="0D25004F"/>
    <w:rsid w:val="0D3236B4"/>
    <w:rsid w:val="0D354E7B"/>
    <w:rsid w:val="0D364BAF"/>
    <w:rsid w:val="0D3B5695"/>
    <w:rsid w:val="0D471024"/>
    <w:rsid w:val="0D4957A1"/>
    <w:rsid w:val="0D4A644C"/>
    <w:rsid w:val="0D543A10"/>
    <w:rsid w:val="0D5F4506"/>
    <w:rsid w:val="0D646F6D"/>
    <w:rsid w:val="0D6C4F2D"/>
    <w:rsid w:val="0D732CA9"/>
    <w:rsid w:val="0D780607"/>
    <w:rsid w:val="0D7B5A12"/>
    <w:rsid w:val="0D89396F"/>
    <w:rsid w:val="0DA70CC6"/>
    <w:rsid w:val="0DA85A9D"/>
    <w:rsid w:val="0DBF7578"/>
    <w:rsid w:val="0DDE61BE"/>
    <w:rsid w:val="0DFA0E63"/>
    <w:rsid w:val="0E02664E"/>
    <w:rsid w:val="0E157290"/>
    <w:rsid w:val="0E1C1DB9"/>
    <w:rsid w:val="0E2E60C8"/>
    <w:rsid w:val="0E4F536F"/>
    <w:rsid w:val="0E623EE6"/>
    <w:rsid w:val="0E647CD2"/>
    <w:rsid w:val="0E7E123C"/>
    <w:rsid w:val="0E840DC6"/>
    <w:rsid w:val="0E880D80"/>
    <w:rsid w:val="0E967B94"/>
    <w:rsid w:val="0EAE31B5"/>
    <w:rsid w:val="0EB6156C"/>
    <w:rsid w:val="0EB7523A"/>
    <w:rsid w:val="0ECA71CC"/>
    <w:rsid w:val="0ED7297A"/>
    <w:rsid w:val="0EE165D5"/>
    <w:rsid w:val="0EE62285"/>
    <w:rsid w:val="0EEA0E98"/>
    <w:rsid w:val="0EF2281F"/>
    <w:rsid w:val="0EFD7877"/>
    <w:rsid w:val="0F0512E4"/>
    <w:rsid w:val="0F1164D6"/>
    <w:rsid w:val="0F1A404B"/>
    <w:rsid w:val="0F272E6F"/>
    <w:rsid w:val="0F2A6E9D"/>
    <w:rsid w:val="0F2D541F"/>
    <w:rsid w:val="0F3E3497"/>
    <w:rsid w:val="0F49228E"/>
    <w:rsid w:val="0F524036"/>
    <w:rsid w:val="0F532A1A"/>
    <w:rsid w:val="0F595D2C"/>
    <w:rsid w:val="0F5F1299"/>
    <w:rsid w:val="0F646588"/>
    <w:rsid w:val="0F696AC4"/>
    <w:rsid w:val="0F72360B"/>
    <w:rsid w:val="0F7E23BF"/>
    <w:rsid w:val="0F7E41D5"/>
    <w:rsid w:val="0F845DDF"/>
    <w:rsid w:val="0FA77425"/>
    <w:rsid w:val="0FB03E6C"/>
    <w:rsid w:val="0FBA3F2B"/>
    <w:rsid w:val="0FBB3108"/>
    <w:rsid w:val="0FBF3A51"/>
    <w:rsid w:val="0FC1379D"/>
    <w:rsid w:val="0FC74F24"/>
    <w:rsid w:val="0FD31E1F"/>
    <w:rsid w:val="0FEB3C0A"/>
    <w:rsid w:val="0FEF2E2D"/>
    <w:rsid w:val="100F75B3"/>
    <w:rsid w:val="101101B1"/>
    <w:rsid w:val="10127FCF"/>
    <w:rsid w:val="10291DF0"/>
    <w:rsid w:val="103409CC"/>
    <w:rsid w:val="104A340F"/>
    <w:rsid w:val="106F05E0"/>
    <w:rsid w:val="10781439"/>
    <w:rsid w:val="107B3F8E"/>
    <w:rsid w:val="10986607"/>
    <w:rsid w:val="109907A6"/>
    <w:rsid w:val="10A33A94"/>
    <w:rsid w:val="10A75FD2"/>
    <w:rsid w:val="10AB4538"/>
    <w:rsid w:val="10CB1B47"/>
    <w:rsid w:val="10DC11C2"/>
    <w:rsid w:val="11092355"/>
    <w:rsid w:val="110A1C39"/>
    <w:rsid w:val="110E14FA"/>
    <w:rsid w:val="11295771"/>
    <w:rsid w:val="113F5775"/>
    <w:rsid w:val="114F5B9C"/>
    <w:rsid w:val="1154672F"/>
    <w:rsid w:val="11560A8A"/>
    <w:rsid w:val="11642268"/>
    <w:rsid w:val="116B376D"/>
    <w:rsid w:val="1186145A"/>
    <w:rsid w:val="118B7302"/>
    <w:rsid w:val="11A1531A"/>
    <w:rsid w:val="11AD296D"/>
    <w:rsid w:val="11AE12E8"/>
    <w:rsid w:val="11B401B4"/>
    <w:rsid w:val="11CA7A73"/>
    <w:rsid w:val="11E643B1"/>
    <w:rsid w:val="11E7024C"/>
    <w:rsid w:val="11F937C0"/>
    <w:rsid w:val="12046551"/>
    <w:rsid w:val="12070268"/>
    <w:rsid w:val="12097F86"/>
    <w:rsid w:val="120D2C49"/>
    <w:rsid w:val="12116CD1"/>
    <w:rsid w:val="122037B5"/>
    <w:rsid w:val="1222202A"/>
    <w:rsid w:val="12237DD2"/>
    <w:rsid w:val="122D2F4E"/>
    <w:rsid w:val="123005BB"/>
    <w:rsid w:val="12302F7F"/>
    <w:rsid w:val="12342CCA"/>
    <w:rsid w:val="12466A2C"/>
    <w:rsid w:val="12523731"/>
    <w:rsid w:val="125A216D"/>
    <w:rsid w:val="125A33D2"/>
    <w:rsid w:val="126761C8"/>
    <w:rsid w:val="12780599"/>
    <w:rsid w:val="12807E35"/>
    <w:rsid w:val="128D2487"/>
    <w:rsid w:val="128D74E7"/>
    <w:rsid w:val="12905F05"/>
    <w:rsid w:val="129F6EBB"/>
    <w:rsid w:val="12AB12F9"/>
    <w:rsid w:val="12B20E75"/>
    <w:rsid w:val="12E57684"/>
    <w:rsid w:val="12E73510"/>
    <w:rsid w:val="12FA2572"/>
    <w:rsid w:val="130E27C1"/>
    <w:rsid w:val="131E193A"/>
    <w:rsid w:val="132429C2"/>
    <w:rsid w:val="13337E4E"/>
    <w:rsid w:val="13534B20"/>
    <w:rsid w:val="136A0A2A"/>
    <w:rsid w:val="136C69FD"/>
    <w:rsid w:val="137A632F"/>
    <w:rsid w:val="13890B77"/>
    <w:rsid w:val="139E212A"/>
    <w:rsid w:val="13A950BF"/>
    <w:rsid w:val="13B34A64"/>
    <w:rsid w:val="13C048E3"/>
    <w:rsid w:val="13D776CB"/>
    <w:rsid w:val="13E20B98"/>
    <w:rsid w:val="13E762FF"/>
    <w:rsid w:val="13EE0BA6"/>
    <w:rsid w:val="14001ACE"/>
    <w:rsid w:val="14077015"/>
    <w:rsid w:val="14127A50"/>
    <w:rsid w:val="141855BC"/>
    <w:rsid w:val="141B69F2"/>
    <w:rsid w:val="142E1779"/>
    <w:rsid w:val="143019B4"/>
    <w:rsid w:val="14344D6D"/>
    <w:rsid w:val="143F246D"/>
    <w:rsid w:val="144351ED"/>
    <w:rsid w:val="144D1795"/>
    <w:rsid w:val="14562931"/>
    <w:rsid w:val="146F0443"/>
    <w:rsid w:val="14850FCA"/>
    <w:rsid w:val="148C4B21"/>
    <w:rsid w:val="148D2553"/>
    <w:rsid w:val="14945D20"/>
    <w:rsid w:val="149836B1"/>
    <w:rsid w:val="14A664F1"/>
    <w:rsid w:val="15153932"/>
    <w:rsid w:val="151C645F"/>
    <w:rsid w:val="151D4380"/>
    <w:rsid w:val="15224B9A"/>
    <w:rsid w:val="15317011"/>
    <w:rsid w:val="15566A6C"/>
    <w:rsid w:val="15754EFA"/>
    <w:rsid w:val="15826992"/>
    <w:rsid w:val="159007F6"/>
    <w:rsid w:val="15922073"/>
    <w:rsid w:val="15930CA0"/>
    <w:rsid w:val="15AD3E7D"/>
    <w:rsid w:val="15BD3F59"/>
    <w:rsid w:val="15C76B5F"/>
    <w:rsid w:val="15C808C2"/>
    <w:rsid w:val="15E70CD1"/>
    <w:rsid w:val="15E806C1"/>
    <w:rsid w:val="160251BE"/>
    <w:rsid w:val="160558EA"/>
    <w:rsid w:val="160E5AB5"/>
    <w:rsid w:val="160F7A1B"/>
    <w:rsid w:val="161913C1"/>
    <w:rsid w:val="163A09C6"/>
    <w:rsid w:val="16417ED1"/>
    <w:rsid w:val="16480BC8"/>
    <w:rsid w:val="1648339E"/>
    <w:rsid w:val="164F32F1"/>
    <w:rsid w:val="165F6726"/>
    <w:rsid w:val="1661365D"/>
    <w:rsid w:val="16657897"/>
    <w:rsid w:val="167A6D0D"/>
    <w:rsid w:val="16876826"/>
    <w:rsid w:val="168E1A4B"/>
    <w:rsid w:val="168F3328"/>
    <w:rsid w:val="1698491F"/>
    <w:rsid w:val="169858DC"/>
    <w:rsid w:val="169F4201"/>
    <w:rsid w:val="16B2532F"/>
    <w:rsid w:val="16D431F5"/>
    <w:rsid w:val="16DE2B99"/>
    <w:rsid w:val="16DE5964"/>
    <w:rsid w:val="16DF1084"/>
    <w:rsid w:val="17203EBC"/>
    <w:rsid w:val="17206918"/>
    <w:rsid w:val="1721577C"/>
    <w:rsid w:val="17235262"/>
    <w:rsid w:val="17247ACB"/>
    <w:rsid w:val="172816E1"/>
    <w:rsid w:val="172F6384"/>
    <w:rsid w:val="173916E7"/>
    <w:rsid w:val="174C3B6D"/>
    <w:rsid w:val="17511BF7"/>
    <w:rsid w:val="176D205F"/>
    <w:rsid w:val="17820915"/>
    <w:rsid w:val="178366E1"/>
    <w:rsid w:val="17854BF8"/>
    <w:rsid w:val="178B1EC7"/>
    <w:rsid w:val="17900D04"/>
    <w:rsid w:val="17931417"/>
    <w:rsid w:val="179D1D45"/>
    <w:rsid w:val="17AF1F7D"/>
    <w:rsid w:val="17E07A1C"/>
    <w:rsid w:val="17F718BC"/>
    <w:rsid w:val="180C7952"/>
    <w:rsid w:val="180D70BC"/>
    <w:rsid w:val="181D40E1"/>
    <w:rsid w:val="182616AA"/>
    <w:rsid w:val="182C1B07"/>
    <w:rsid w:val="183B4399"/>
    <w:rsid w:val="183C0FDD"/>
    <w:rsid w:val="184426F6"/>
    <w:rsid w:val="1846007F"/>
    <w:rsid w:val="18497E24"/>
    <w:rsid w:val="185C58E5"/>
    <w:rsid w:val="185D03B9"/>
    <w:rsid w:val="18714908"/>
    <w:rsid w:val="187207E5"/>
    <w:rsid w:val="18722C11"/>
    <w:rsid w:val="188C4EC9"/>
    <w:rsid w:val="188F1276"/>
    <w:rsid w:val="18AE0322"/>
    <w:rsid w:val="18B15E67"/>
    <w:rsid w:val="18CC7A8E"/>
    <w:rsid w:val="18E42881"/>
    <w:rsid w:val="18F0675D"/>
    <w:rsid w:val="18F447E6"/>
    <w:rsid w:val="18FA7335"/>
    <w:rsid w:val="18FC580C"/>
    <w:rsid w:val="190516D6"/>
    <w:rsid w:val="191743BF"/>
    <w:rsid w:val="192B5865"/>
    <w:rsid w:val="194F6ED6"/>
    <w:rsid w:val="19535C3C"/>
    <w:rsid w:val="1958129D"/>
    <w:rsid w:val="1959323D"/>
    <w:rsid w:val="19672895"/>
    <w:rsid w:val="19727A05"/>
    <w:rsid w:val="199D5C83"/>
    <w:rsid w:val="19A55246"/>
    <w:rsid w:val="19B34B26"/>
    <w:rsid w:val="19BE103E"/>
    <w:rsid w:val="19C170CA"/>
    <w:rsid w:val="19CB6016"/>
    <w:rsid w:val="19CE11E8"/>
    <w:rsid w:val="19D840A7"/>
    <w:rsid w:val="19EB7343"/>
    <w:rsid w:val="1A1135FD"/>
    <w:rsid w:val="1A175BD8"/>
    <w:rsid w:val="1A282152"/>
    <w:rsid w:val="1A2921FC"/>
    <w:rsid w:val="1A2F3D17"/>
    <w:rsid w:val="1A346C00"/>
    <w:rsid w:val="1A3C28AF"/>
    <w:rsid w:val="1A474A03"/>
    <w:rsid w:val="1A4E19AF"/>
    <w:rsid w:val="1A8E4223"/>
    <w:rsid w:val="1A9F61DB"/>
    <w:rsid w:val="1AA2196D"/>
    <w:rsid w:val="1AA656A9"/>
    <w:rsid w:val="1AB175BE"/>
    <w:rsid w:val="1AB31944"/>
    <w:rsid w:val="1AC73075"/>
    <w:rsid w:val="1AD215EB"/>
    <w:rsid w:val="1ADF7855"/>
    <w:rsid w:val="1AE754A4"/>
    <w:rsid w:val="1AF52F04"/>
    <w:rsid w:val="1AF75911"/>
    <w:rsid w:val="1AFC47FE"/>
    <w:rsid w:val="1B0976C1"/>
    <w:rsid w:val="1B0D0614"/>
    <w:rsid w:val="1B0E1485"/>
    <w:rsid w:val="1B484554"/>
    <w:rsid w:val="1B6335D2"/>
    <w:rsid w:val="1B777F64"/>
    <w:rsid w:val="1B7E0773"/>
    <w:rsid w:val="1B7F5648"/>
    <w:rsid w:val="1B85467C"/>
    <w:rsid w:val="1BB85941"/>
    <w:rsid w:val="1BBA14F1"/>
    <w:rsid w:val="1BC140B1"/>
    <w:rsid w:val="1BDE7893"/>
    <w:rsid w:val="1BE216F5"/>
    <w:rsid w:val="1BE22AE2"/>
    <w:rsid w:val="1BF00818"/>
    <w:rsid w:val="1BF40ED7"/>
    <w:rsid w:val="1BFD0E3F"/>
    <w:rsid w:val="1C022035"/>
    <w:rsid w:val="1C1642BA"/>
    <w:rsid w:val="1C281147"/>
    <w:rsid w:val="1C292F75"/>
    <w:rsid w:val="1C2B581D"/>
    <w:rsid w:val="1C382AD3"/>
    <w:rsid w:val="1C3E614C"/>
    <w:rsid w:val="1C460113"/>
    <w:rsid w:val="1C516459"/>
    <w:rsid w:val="1C527FB6"/>
    <w:rsid w:val="1C552BE6"/>
    <w:rsid w:val="1C565A42"/>
    <w:rsid w:val="1C6D0ECD"/>
    <w:rsid w:val="1C757067"/>
    <w:rsid w:val="1C8A4BB5"/>
    <w:rsid w:val="1C934C99"/>
    <w:rsid w:val="1CA64F3E"/>
    <w:rsid w:val="1CA821B5"/>
    <w:rsid w:val="1CB366A4"/>
    <w:rsid w:val="1CB47B85"/>
    <w:rsid w:val="1CCE1D13"/>
    <w:rsid w:val="1CD44BC1"/>
    <w:rsid w:val="1CDD6A91"/>
    <w:rsid w:val="1CEB0C03"/>
    <w:rsid w:val="1D0535BD"/>
    <w:rsid w:val="1D0568BA"/>
    <w:rsid w:val="1D0D2E23"/>
    <w:rsid w:val="1D0F0041"/>
    <w:rsid w:val="1D142976"/>
    <w:rsid w:val="1D1D4882"/>
    <w:rsid w:val="1D21755F"/>
    <w:rsid w:val="1D2209A7"/>
    <w:rsid w:val="1D244997"/>
    <w:rsid w:val="1D322725"/>
    <w:rsid w:val="1D362E77"/>
    <w:rsid w:val="1D3E0C05"/>
    <w:rsid w:val="1D4461B2"/>
    <w:rsid w:val="1D514FF8"/>
    <w:rsid w:val="1D532202"/>
    <w:rsid w:val="1D543C79"/>
    <w:rsid w:val="1D641C57"/>
    <w:rsid w:val="1D6A6453"/>
    <w:rsid w:val="1D6C482C"/>
    <w:rsid w:val="1D6D5E0E"/>
    <w:rsid w:val="1D837D50"/>
    <w:rsid w:val="1D85734F"/>
    <w:rsid w:val="1D8C271A"/>
    <w:rsid w:val="1D8C449F"/>
    <w:rsid w:val="1D8E73A9"/>
    <w:rsid w:val="1DB671FD"/>
    <w:rsid w:val="1DB84476"/>
    <w:rsid w:val="1DBD348F"/>
    <w:rsid w:val="1DC51A0F"/>
    <w:rsid w:val="1DC57D69"/>
    <w:rsid w:val="1DCE30EA"/>
    <w:rsid w:val="1DD91530"/>
    <w:rsid w:val="1DE879D4"/>
    <w:rsid w:val="1E0F5BE8"/>
    <w:rsid w:val="1E19024B"/>
    <w:rsid w:val="1E511469"/>
    <w:rsid w:val="1E576967"/>
    <w:rsid w:val="1E5C5802"/>
    <w:rsid w:val="1E6B34D4"/>
    <w:rsid w:val="1E6E658F"/>
    <w:rsid w:val="1E71767E"/>
    <w:rsid w:val="1E771BDE"/>
    <w:rsid w:val="1E7E5EF8"/>
    <w:rsid w:val="1E8114B5"/>
    <w:rsid w:val="1E825485"/>
    <w:rsid w:val="1E8D048F"/>
    <w:rsid w:val="1E934F7F"/>
    <w:rsid w:val="1E93764F"/>
    <w:rsid w:val="1EAD26EB"/>
    <w:rsid w:val="1EB35094"/>
    <w:rsid w:val="1EBB13E1"/>
    <w:rsid w:val="1EC3524B"/>
    <w:rsid w:val="1ED3037F"/>
    <w:rsid w:val="1ED63CB8"/>
    <w:rsid w:val="1EFB4F6F"/>
    <w:rsid w:val="1F022B3A"/>
    <w:rsid w:val="1F070E7E"/>
    <w:rsid w:val="1F0C4CDB"/>
    <w:rsid w:val="1F117D7E"/>
    <w:rsid w:val="1F122183"/>
    <w:rsid w:val="1F1973E5"/>
    <w:rsid w:val="1F214F79"/>
    <w:rsid w:val="1F2E20A8"/>
    <w:rsid w:val="1F301686"/>
    <w:rsid w:val="1F30262A"/>
    <w:rsid w:val="1F3222BD"/>
    <w:rsid w:val="1F3D6C6A"/>
    <w:rsid w:val="1F703660"/>
    <w:rsid w:val="1F7F00E9"/>
    <w:rsid w:val="1F9B6A1F"/>
    <w:rsid w:val="1F9B7B85"/>
    <w:rsid w:val="1FA71F35"/>
    <w:rsid w:val="1FB83627"/>
    <w:rsid w:val="1FC3153E"/>
    <w:rsid w:val="1FCD004A"/>
    <w:rsid w:val="1FD26678"/>
    <w:rsid w:val="1FDD41C0"/>
    <w:rsid w:val="1FFE318E"/>
    <w:rsid w:val="200E0553"/>
    <w:rsid w:val="20230CD3"/>
    <w:rsid w:val="202A1A99"/>
    <w:rsid w:val="202E11FE"/>
    <w:rsid w:val="203D54B9"/>
    <w:rsid w:val="204A5470"/>
    <w:rsid w:val="205170AA"/>
    <w:rsid w:val="20656C2B"/>
    <w:rsid w:val="20685239"/>
    <w:rsid w:val="206E6D90"/>
    <w:rsid w:val="206F4724"/>
    <w:rsid w:val="207D08D1"/>
    <w:rsid w:val="20A14B7F"/>
    <w:rsid w:val="20A623DB"/>
    <w:rsid w:val="20AA05B1"/>
    <w:rsid w:val="20AA718E"/>
    <w:rsid w:val="20B63BD1"/>
    <w:rsid w:val="20BC30A4"/>
    <w:rsid w:val="20E344F2"/>
    <w:rsid w:val="20F10B5C"/>
    <w:rsid w:val="211D6B2B"/>
    <w:rsid w:val="2124064A"/>
    <w:rsid w:val="213E0333"/>
    <w:rsid w:val="213F2ED9"/>
    <w:rsid w:val="21463BFD"/>
    <w:rsid w:val="2148110A"/>
    <w:rsid w:val="214E76E9"/>
    <w:rsid w:val="214E7780"/>
    <w:rsid w:val="215C3F0E"/>
    <w:rsid w:val="215F01A9"/>
    <w:rsid w:val="21605EB4"/>
    <w:rsid w:val="218F68B6"/>
    <w:rsid w:val="21A620C7"/>
    <w:rsid w:val="21A8065B"/>
    <w:rsid w:val="21AA6EBC"/>
    <w:rsid w:val="21AF2750"/>
    <w:rsid w:val="21B100EE"/>
    <w:rsid w:val="21B62DA0"/>
    <w:rsid w:val="21B846A0"/>
    <w:rsid w:val="21B93965"/>
    <w:rsid w:val="21BE3741"/>
    <w:rsid w:val="21C73176"/>
    <w:rsid w:val="21CA12BF"/>
    <w:rsid w:val="21DC62D5"/>
    <w:rsid w:val="21E851CF"/>
    <w:rsid w:val="21ED5065"/>
    <w:rsid w:val="21F279D5"/>
    <w:rsid w:val="21F950D1"/>
    <w:rsid w:val="22164F78"/>
    <w:rsid w:val="221747B0"/>
    <w:rsid w:val="221F0AA8"/>
    <w:rsid w:val="222A7AD3"/>
    <w:rsid w:val="22302304"/>
    <w:rsid w:val="224444CB"/>
    <w:rsid w:val="22493FB8"/>
    <w:rsid w:val="224A477E"/>
    <w:rsid w:val="225456AD"/>
    <w:rsid w:val="2270498A"/>
    <w:rsid w:val="22721278"/>
    <w:rsid w:val="2278040A"/>
    <w:rsid w:val="22792A9E"/>
    <w:rsid w:val="22896F5A"/>
    <w:rsid w:val="22926702"/>
    <w:rsid w:val="22AA21A1"/>
    <w:rsid w:val="22B44C21"/>
    <w:rsid w:val="22C57D4D"/>
    <w:rsid w:val="22CC11F5"/>
    <w:rsid w:val="22D92B55"/>
    <w:rsid w:val="22F23C4B"/>
    <w:rsid w:val="22F36787"/>
    <w:rsid w:val="22FD0DBA"/>
    <w:rsid w:val="23073D0F"/>
    <w:rsid w:val="231047E7"/>
    <w:rsid w:val="23157A6F"/>
    <w:rsid w:val="231773ED"/>
    <w:rsid w:val="232D0BF0"/>
    <w:rsid w:val="233175DB"/>
    <w:rsid w:val="23390EC2"/>
    <w:rsid w:val="235208D3"/>
    <w:rsid w:val="235C387A"/>
    <w:rsid w:val="236E0A10"/>
    <w:rsid w:val="237976BD"/>
    <w:rsid w:val="23825448"/>
    <w:rsid w:val="239A319D"/>
    <w:rsid w:val="239C32DF"/>
    <w:rsid w:val="23A15C1B"/>
    <w:rsid w:val="23C1038C"/>
    <w:rsid w:val="23C4365B"/>
    <w:rsid w:val="23CA2DD5"/>
    <w:rsid w:val="23CB72B6"/>
    <w:rsid w:val="23CB7857"/>
    <w:rsid w:val="23E73199"/>
    <w:rsid w:val="23E7503E"/>
    <w:rsid w:val="23F31163"/>
    <w:rsid w:val="23F914AD"/>
    <w:rsid w:val="24176EEC"/>
    <w:rsid w:val="242033BC"/>
    <w:rsid w:val="242330DC"/>
    <w:rsid w:val="24286BC4"/>
    <w:rsid w:val="243F4E60"/>
    <w:rsid w:val="244759BE"/>
    <w:rsid w:val="244A15EC"/>
    <w:rsid w:val="244F0284"/>
    <w:rsid w:val="24537B05"/>
    <w:rsid w:val="24562C03"/>
    <w:rsid w:val="246F7015"/>
    <w:rsid w:val="24752DB8"/>
    <w:rsid w:val="24831BFF"/>
    <w:rsid w:val="24832CCC"/>
    <w:rsid w:val="24A958C4"/>
    <w:rsid w:val="24BC7934"/>
    <w:rsid w:val="24C40102"/>
    <w:rsid w:val="24C71DB7"/>
    <w:rsid w:val="24D9425F"/>
    <w:rsid w:val="24E27162"/>
    <w:rsid w:val="25001111"/>
    <w:rsid w:val="251179CE"/>
    <w:rsid w:val="25150B36"/>
    <w:rsid w:val="25416DD0"/>
    <w:rsid w:val="25482ADE"/>
    <w:rsid w:val="255071FA"/>
    <w:rsid w:val="255A77F6"/>
    <w:rsid w:val="2574430A"/>
    <w:rsid w:val="258038BA"/>
    <w:rsid w:val="25871A74"/>
    <w:rsid w:val="2587717B"/>
    <w:rsid w:val="25937BC1"/>
    <w:rsid w:val="259D1E81"/>
    <w:rsid w:val="25A03419"/>
    <w:rsid w:val="25A4627F"/>
    <w:rsid w:val="25A63F5F"/>
    <w:rsid w:val="25A95DAF"/>
    <w:rsid w:val="25B5597E"/>
    <w:rsid w:val="25BC4A97"/>
    <w:rsid w:val="25CE6B21"/>
    <w:rsid w:val="25DF23CA"/>
    <w:rsid w:val="25FF0E11"/>
    <w:rsid w:val="26116D27"/>
    <w:rsid w:val="26300C2F"/>
    <w:rsid w:val="2630131D"/>
    <w:rsid w:val="26312C2D"/>
    <w:rsid w:val="263526CC"/>
    <w:rsid w:val="263614F7"/>
    <w:rsid w:val="26390886"/>
    <w:rsid w:val="26461C46"/>
    <w:rsid w:val="26494348"/>
    <w:rsid w:val="264B4A19"/>
    <w:rsid w:val="26642F0B"/>
    <w:rsid w:val="267B7C12"/>
    <w:rsid w:val="26C5361A"/>
    <w:rsid w:val="26C71DF0"/>
    <w:rsid w:val="26E308C6"/>
    <w:rsid w:val="2725496C"/>
    <w:rsid w:val="272645BA"/>
    <w:rsid w:val="272F29E2"/>
    <w:rsid w:val="273B0FA8"/>
    <w:rsid w:val="27453DCC"/>
    <w:rsid w:val="275578DB"/>
    <w:rsid w:val="276A73A0"/>
    <w:rsid w:val="276E57CC"/>
    <w:rsid w:val="27700304"/>
    <w:rsid w:val="2775187F"/>
    <w:rsid w:val="27792C53"/>
    <w:rsid w:val="27855AC0"/>
    <w:rsid w:val="278B468E"/>
    <w:rsid w:val="278B6902"/>
    <w:rsid w:val="27951C3D"/>
    <w:rsid w:val="27A570CB"/>
    <w:rsid w:val="27A8046D"/>
    <w:rsid w:val="27B23464"/>
    <w:rsid w:val="27B62C81"/>
    <w:rsid w:val="27B73406"/>
    <w:rsid w:val="27B920E8"/>
    <w:rsid w:val="27BB418E"/>
    <w:rsid w:val="27C00F48"/>
    <w:rsid w:val="27CE7E95"/>
    <w:rsid w:val="27DF0133"/>
    <w:rsid w:val="28006939"/>
    <w:rsid w:val="283E2B2C"/>
    <w:rsid w:val="28475EAF"/>
    <w:rsid w:val="28485E2C"/>
    <w:rsid w:val="284F7D00"/>
    <w:rsid w:val="28545910"/>
    <w:rsid w:val="2858592D"/>
    <w:rsid w:val="285D3C64"/>
    <w:rsid w:val="28636A94"/>
    <w:rsid w:val="28686400"/>
    <w:rsid w:val="288467EA"/>
    <w:rsid w:val="2896515B"/>
    <w:rsid w:val="28A618D3"/>
    <w:rsid w:val="28A67D96"/>
    <w:rsid w:val="28B5315C"/>
    <w:rsid w:val="28B77FED"/>
    <w:rsid w:val="28BC4CAD"/>
    <w:rsid w:val="28C24305"/>
    <w:rsid w:val="28E46FB4"/>
    <w:rsid w:val="28EC2402"/>
    <w:rsid w:val="28F13D0C"/>
    <w:rsid w:val="28F4664F"/>
    <w:rsid w:val="28F746A5"/>
    <w:rsid w:val="29047682"/>
    <w:rsid w:val="29071E12"/>
    <w:rsid w:val="29227CBB"/>
    <w:rsid w:val="292A5BA6"/>
    <w:rsid w:val="2939417B"/>
    <w:rsid w:val="293A69C7"/>
    <w:rsid w:val="294B7D81"/>
    <w:rsid w:val="295E518E"/>
    <w:rsid w:val="296907D9"/>
    <w:rsid w:val="296E4482"/>
    <w:rsid w:val="29786FF2"/>
    <w:rsid w:val="297A0117"/>
    <w:rsid w:val="299F52D6"/>
    <w:rsid w:val="29B167E5"/>
    <w:rsid w:val="29B17948"/>
    <w:rsid w:val="29E245D5"/>
    <w:rsid w:val="29EB7E7D"/>
    <w:rsid w:val="29EC6E98"/>
    <w:rsid w:val="29F71A8B"/>
    <w:rsid w:val="29FF364F"/>
    <w:rsid w:val="2A096F02"/>
    <w:rsid w:val="2A391427"/>
    <w:rsid w:val="2A5252EB"/>
    <w:rsid w:val="2A5B133F"/>
    <w:rsid w:val="2A665191"/>
    <w:rsid w:val="2A6C38C7"/>
    <w:rsid w:val="2A8D5975"/>
    <w:rsid w:val="2A9E390C"/>
    <w:rsid w:val="2AB11856"/>
    <w:rsid w:val="2AC156DE"/>
    <w:rsid w:val="2AC36E2F"/>
    <w:rsid w:val="2AF645D8"/>
    <w:rsid w:val="2B015402"/>
    <w:rsid w:val="2B015604"/>
    <w:rsid w:val="2B143676"/>
    <w:rsid w:val="2B4A26BE"/>
    <w:rsid w:val="2B4E64D7"/>
    <w:rsid w:val="2B51674F"/>
    <w:rsid w:val="2B5C5E6D"/>
    <w:rsid w:val="2B6F647C"/>
    <w:rsid w:val="2B7A4AA9"/>
    <w:rsid w:val="2B7E1CF2"/>
    <w:rsid w:val="2B82199F"/>
    <w:rsid w:val="2B996303"/>
    <w:rsid w:val="2BCA5055"/>
    <w:rsid w:val="2BDC47D0"/>
    <w:rsid w:val="2BE523B8"/>
    <w:rsid w:val="2BE911C4"/>
    <w:rsid w:val="2BEB548A"/>
    <w:rsid w:val="2BF07E21"/>
    <w:rsid w:val="2BF27B02"/>
    <w:rsid w:val="2BF90386"/>
    <w:rsid w:val="2BFA617A"/>
    <w:rsid w:val="2C0B071C"/>
    <w:rsid w:val="2C0E1703"/>
    <w:rsid w:val="2C196D4C"/>
    <w:rsid w:val="2C1C3627"/>
    <w:rsid w:val="2C2057F7"/>
    <w:rsid w:val="2C2D05F8"/>
    <w:rsid w:val="2C2F6596"/>
    <w:rsid w:val="2C327432"/>
    <w:rsid w:val="2C411B29"/>
    <w:rsid w:val="2C425B63"/>
    <w:rsid w:val="2C457A44"/>
    <w:rsid w:val="2C5C2775"/>
    <w:rsid w:val="2C5D1707"/>
    <w:rsid w:val="2C601DC3"/>
    <w:rsid w:val="2C6A259E"/>
    <w:rsid w:val="2C741E40"/>
    <w:rsid w:val="2C7B740A"/>
    <w:rsid w:val="2C894C00"/>
    <w:rsid w:val="2C9D55F3"/>
    <w:rsid w:val="2CA81F6C"/>
    <w:rsid w:val="2CB402A7"/>
    <w:rsid w:val="2CC74DCB"/>
    <w:rsid w:val="2CC904FF"/>
    <w:rsid w:val="2CC90EA9"/>
    <w:rsid w:val="2CD04D18"/>
    <w:rsid w:val="2CDB7ECA"/>
    <w:rsid w:val="2CE97FF7"/>
    <w:rsid w:val="2CEF4908"/>
    <w:rsid w:val="2D063350"/>
    <w:rsid w:val="2D126E88"/>
    <w:rsid w:val="2D162DF8"/>
    <w:rsid w:val="2D1D082C"/>
    <w:rsid w:val="2D264B61"/>
    <w:rsid w:val="2D2B453B"/>
    <w:rsid w:val="2D374502"/>
    <w:rsid w:val="2D3F0DBB"/>
    <w:rsid w:val="2D3F5394"/>
    <w:rsid w:val="2D4B4734"/>
    <w:rsid w:val="2D4D62F0"/>
    <w:rsid w:val="2D5B33F8"/>
    <w:rsid w:val="2D611ED6"/>
    <w:rsid w:val="2D756806"/>
    <w:rsid w:val="2D7A6D29"/>
    <w:rsid w:val="2D7D458F"/>
    <w:rsid w:val="2D990DD2"/>
    <w:rsid w:val="2DAA6A7A"/>
    <w:rsid w:val="2DAB1E23"/>
    <w:rsid w:val="2DB64588"/>
    <w:rsid w:val="2DC61AE4"/>
    <w:rsid w:val="2DCD6729"/>
    <w:rsid w:val="2DD9078F"/>
    <w:rsid w:val="2E013444"/>
    <w:rsid w:val="2E04303E"/>
    <w:rsid w:val="2E0A5F71"/>
    <w:rsid w:val="2E102104"/>
    <w:rsid w:val="2E28060D"/>
    <w:rsid w:val="2E407B46"/>
    <w:rsid w:val="2E471E9D"/>
    <w:rsid w:val="2E690589"/>
    <w:rsid w:val="2E6B5B3B"/>
    <w:rsid w:val="2E8B3DA4"/>
    <w:rsid w:val="2E8C6B92"/>
    <w:rsid w:val="2E905C3A"/>
    <w:rsid w:val="2E935B02"/>
    <w:rsid w:val="2E976C93"/>
    <w:rsid w:val="2E9E7959"/>
    <w:rsid w:val="2EAF7E1A"/>
    <w:rsid w:val="2EC93938"/>
    <w:rsid w:val="2ECB5A09"/>
    <w:rsid w:val="2ED01EE5"/>
    <w:rsid w:val="2ED46F76"/>
    <w:rsid w:val="2ED855D2"/>
    <w:rsid w:val="2ED95E64"/>
    <w:rsid w:val="2EE664E0"/>
    <w:rsid w:val="2EE67F60"/>
    <w:rsid w:val="2EE77D82"/>
    <w:rsid w:val="2EEE4271"/>
    <w:rsid w:val="2EF210AC"/>
    <w:rsid w:val="2EF5378B"/>
    <w:rsid w:val="2EF65473"/>
    <w:rsid w:val="2F045163"/>
    <w:rsid w:val="2F064882"/>
    <w:rsid w:val="2F0844D3"/>
    <w:rsid w:val="2F2048DE"/>
    <w:rsid w:val="2F2E58B5"/>
    <w:rsid w:val="2F2F030D"/>
    <w:rsid w:val="2F3816A9"/>
    <w:rsid w:val="2F430F31"/>
    <w:rsid w:val="2F5E3581"/>
    <w:rsid w:val="2F6E6D42"/>
    <w:rsid w:val="2F6F72B0"/>
    <w:rsid w:val="2F794668"/>
    <w:rsid w:val="2F7B3CA3"/>
    <w:rsid w:val="2F8C1EB1"/>
    <w:rsid w:val="2F923D59"/>
    <w:rsid w:val="2FA47FDC"/>
    <w:rsid w:val="2FA6206C"/>
    <w:rsid w:val="2FAD6314"/>
    <w:rsid w:val="2FB10524"/>
    <w:rsid w:val="2FB3740D"/>
    <w:rsid w:val="2FBB23AE"/>
    <w:rsid w:val="2FBB65E1"/>
    <w:rsid w:val="2FC16B66"/>
    <w:rsid w:val="2FC873B2"/>
    <w:rsid w:val="2FC91974"/>
    <w:rsid w:val="2FD255B6"/>
    <w:rsid w:val="2FEE5C73"/>
    <w:rsid w:val="2FF06132"/>
    <w:rsid w:val="2FF21B4D"/>
    <w:rsid w:val="2FF26F51"/>
    <w:rsid w:val="2FFE766B"/>
    <w:rsid w:val="30070633"/>
    <w:rsid w:val="300E0EBC"/>
    <w:rsid w:val="301655EA"/>
    <w:rsid w:val="3019541B"/>
    <w:rsid w:val="301B48D4"/>
    <w:rsid w:val="30274B8F"/>
    <w:rsid w:val="302D2C40"/>
    <w:rsid w:val="30491740"/>
    <w:rsid w:val="304D6F12"/>
    <w:rsid w:val="3054758F"/>
    <w:rsid w:val="30590836"/>
    <w:rsid w:val="305F0786"/>
    <w:rsid w:val="306004E8"/>
    <w:rsid w:val="30646810"/>
    <w:rsid w:val="30682652"/>
    <w:rsid w:val="309E2F52"/>
    <w:rsid w:val="30B51DC2"/>
    <w:rsid w:val="30C04993"/>
    <w:rsid w:val="30CD37C9"/>
    <w:rsid w:val="30DF5D75"/>
    <w:rsid w:val="30F41F9E"/>
    <w:rsid w:val="30F47747"/>
    <w:rsid w:val="30F53B1C"/>
    <w:rsid w:val="310179CF"/>
    <w:rsid w:val="310468EB"/>
    <w:rsid w:val="31216A47"/>
    <w:rsid w:val="31280E3A"/>
    <w:rsid w:val="312A51D7"/>
    <w:rsid w:val="312E710B"/>
    <w:rsid w:val="312F6F05"/>
    <w:rsid w:val="31312EC9"/>
    <w:rsid w:val="313576FC"/>
    <w:rsid w:val="313675AA"/>
    <w:rsid w:val="31432643"/>
    <w:rsid w:val="316A693D"/>
    <w:rsid w:val="317051D7"/>
    <w:rsid w:val="317A7669"/>
    <w:rsid w:val="31916A71"/>
    <w:rsid w:val="319652B5"/>
    <w:rsid w:val="31984E0E"/>
    <w:rsid w:val="31A14DDA"/>
    <w:rsid w:val="31AB4738"/>
    <w:rsid w:val="31BB4A12"/>
    <w:rsid w:val="31DC388F"/>
    <w:rsid w:val="31E05C0F"/>
    <w:rsid w:val="31EF1EA4"/>
    <w:rsid w:val="31F46138"/>
    <w:rsid w:val="31FF3CE0"/>
    <w:rsid w:val="32132104"/>
    <w:rsid w:val="32201BAD"/>
    <w:rsid w:val="322B23D5"/>
    <w:rsid w:val="322B55A4"/>
    <w:rsid w:val="32322593"/>
    <w:rsid w:val="32336C35"/>
    <w:rsid w:val="32395CC1"/>
    <w:rsid w:val="32485ED2"/>
    <w:rsid w:val="324F6777"/>
    <w:rsid w:val="32596780"/>
    <w:rsid w:val="325E4363"/>
    <w:rsid w:val="326E6AF1"/>
    <w:rsid w:val="32762134"/>
    <w:rsid w:val="329D74E4"/>
    <w:rsid w:val="32A63E2F"/>
    <w:rsid w:val="32B71F35"/>
    <w:rsid w:val="32C261A1"/>
    <w:rsid w:val="32C47DC3"/>
    <w:rsid w:val="32C815E4"/>
    <w:rsid w:val="32D810F4"/>
    <w:rsid w:val="32F333E5"/>
    <w:rsid w:val="32F84EF7"/>
    <w:rsid w:val="330637EB"/>
    <w:rsid w:val="33082722"/>
    <w:rsid w:val="333346A1"/>
    <w:rsid w:val="33444A24"/>
    <w:rsid w:val="335D2A5D"/>
    <w:rsid w:val="336165FD"/>
    <w:rsid w:val="336B2342"/>
    <w:rsid w:val="336E5F5A"/>
    <w:rsid w:val="337875F8"/>
    <w:rsid w:val="33880F08"/>
    <w:rsid w:val="33890DA6"/>
    <w:rsid w:val="339362B3"/>
    <w:rsid w:val="339B2999"/>
    <w:rsid w:val="33C27687"/>
    <w:rsid w:val="33C75ECC"/>
    <w:rsid w:val="33EE5634"/>
    <w:rsid w:val="33F53F07"/>
    <w:rsid w:val="33F56322"/>
    <w:rsid w:val="34011DB3"/>
    <w:rsid w:val="34187D1C"/>
    <w:rsid w:val="342C0682"/>
    <w:rsid w:val="343768DB"/>
    <w:rsid w:val="34385DC1"/>
    <w:rsid w:val="343F2B8A"/>
    <w:rsid w:val="34564B8E"/>
    <w:rsid w:val="34616A69"/>
    <w:rsid w:val="346A3DA5"/>
    <w:rsid w:val="347D22E4"/>
    <w:rsid w:val="34AB6B93"/>
    <w:rsid w:val="34B44B83"/>
    <w:rsid w:val="34BC604F"/>
    <w:rsid w:val="34BE4DF8"/>
    <w:rsid w:val="34BE5462"/>
    <w:rsid w:val="34C6518D"/>
    <w:rsid w:val="34CC6C0D"/>
    <w:rsid w:val="34CD5F27"/>
    <w:rsid w:val="34E65662"/>
    <w:rsid w:val="34FC0066"/>
    <w:rsid w:val="34FC6059"/>
    <w:rsid w:val="3504562F"/>
    <w:rsid w:val="35216F94"/>
    <w:rsid w:val="352E7D58"/>
    <w:rsid w:val="35327EFD"/>
    <w:rsid w:val="353F1F06"/>
    <w:rsid w:val="35404BC1"/>
    <w:rsid w:val="354521E4"/>
    <w:rsid w:val="355872EF"/>
    <w:rsid w:val="35671388"/>
    <w:rsid w:val="356F0AFB"/>
    <w:rsid w:val="35817ADE"/>
    <w:rsid w:val="35830500"/>
    <w:rsid w:val="3585765B"/>
    <w:rsid w:val="359001A5"/>
    <w:rsid w:val="35971438"/>
    <w:rsid w:val="359F6463"/>
    <w:rsid w:val="35A11911"/>
    <w:rsid w:val="35A41AB5"/>
    <w:rsid w:val="35A940EF"/>
    <w:rsid w:val="35AE30CF"/>
    <w:rsid w:val="35BA6D19"/>
    <w:rsid w:val="35D473D2"/>
    <w:rsid w:val="35DA0C8E"/>
    <w:rsid w:val="35DD3A74"/>
    <w:rsid w:val="35F33F31"/>
    <w:rsid w:val="36190B49"/>
    <w:rsid w:val="361F1AB1"/>
    <w:rsid w:val="362B7536"/>
    <w:rsid w:val="364806A3"/>
    <w:rsid w:val="36523CB2"/>
    <w:rsid w:val="36577A4A"/>
    <w:rsid w:val="365A1849"/>
    <w:rsid w:val="366454AB"/>
    <w:rsid w:val="366609A6"/>
    <w:rsid w:val="36673012"/>
    <w:rsid w:val="36787BB0"/>
    <w:rsid w:val="367F6F25"/>
    <w:rsid w:val="36814E6B"/>
    <w:rsid w:val="3691248C"/>
    <w:rsid w:val="36972750"/>
    <w:rsid w:val="36973A53"/>
    <w:rsid w:val="36A23709"/>
    <w:rsid w:val="36AC2882"/>
    <w:rsid w:val="36B650E3"/>
    <w:rsid w:val="36BF0639"/>
    <w:rsid w:val="36C60977"/>
    <w:rsid w:val="36C74848"/>
    <w:rsid w:val="36C86ADC"/>
    <w:rsid w:val="37021332"/>
    <w:rsid w:val="370C2E31"/>
    <w:rsid w:val="371B5E98"/>
    <w:rsid w:val="37254A98"/>
    <w:rsid w:val="37291D65"/>
    <w:rsid w:val="372B74A2"/>
    <w:rsid w:val="372D742C"/>
    <w:rsid w:val="37316CBE"/>
    <w:rsid w:val="3738727B"/>
    <w:rsid w:val="376434B4"/>
    <w:rsid w:val="376E7494"/>
    <w:rsid w:val="377E7A9F"/>
    <w:rsid w:val="378A1691"/>
    <w:rsid w:val="378A16F2"/>
    <w:rsid w:val="378B7EF6"/>
    <w:rsid w:val="37920A61"/>
    <w:rsid w:val="379911AA"/>
    <w:rsid w:val="379B2DB0"/>
    <w:rsid w:val="37A54966"/>
    <w:rsid w:val="37B62592"/>
    <w:rsid w:val="37C35210"/>
    <w:rsid w:val="37C64E3D"/>
    <w:rsid w:val="37DF7B8E"/>
    <w:rsid w:val="37EE18FA"/>
    <w:rsid w:val="37F948A6"/>
    <w:rsid w:val="37FA34BB"/>
    <w:rsid w:val="38020F9D"/>
    <w:rsid w:val="380A36BD"/>
    <w:rsid w:val="38215CB4"/>
    <w:rsid w:val="383F4B69"/>
    <w:rsid w:val="38536ED3"/>
    <w:rsid w:val="385A4074"/>
    <w:rsid w:val="38661C60"/>
    <w:rsid w:val="386E0522"/>
    <w:rsid w:val="38736F86"/>
    <w:rsid w:val="387E074B"/>
    <w:rsid w:val="38815403"/>
    <w:rsid w:val="38914E68"/>
    <w:rsid w:val="389420C6"/>
    <w:rsid w:val="389E35A2"/>
    <w:rsid w:val="38A76CD6"/>
    <w:rsid w:val="38B37463"/>
    <w:rsid w:val="38CC1C5B"/>
    <w:rsid w:val="38E425B5"/>
    <w:rsid w:val="38E950B0"/>
    <w:rsid w:val="38E960CD"/>
    <w:rsid w:val="38F2740A"/>
    <w:rsid w:val="38F95D0E"/>
    <w:rsid w:val="390F5A84"/>
    <w:rsid w:val="39145395"/>
    <w:rsid w:val="3917350C"/>
    <w:rsid w:val="39345893"/>
    <w:rsid w:val="393F592C"/>
    <w:rsid w:val="394E3CC3"/>
    <w:rsid w:val="395F1CA9"/>
    <w:rsid w:val="39641CF7"/>
    <w:rsid w:val="396E1C7F"/>
    <w:rsid w:val="397623D1"/>
    <w:rsid w:val="397F7BEF"/>
    <w:rsid w:val="398F1314"/>
    <w:rsid w:val="39A11A73"/>
    <w:rsid w:val="39A439EF"/>
    <w:rsid w:val="39AF04BB"/>
    <w:rsid w:val="39BC628D"/>
    <w:rsid w:val="39D85D02"/>
    <w:rsid w:val="39DB6B77"/>
    <w:rsid w:val="39EA0BA7"/>
    <w:rsid w:val="39F47C62"/>
    <w:rsid w:val="39F90F26"/>
    <w:rsid w:val="3A100A9A"/>
    <w:rsid w:val="3A137D2C"/>
    <w:rsid w:val="3A224BD7"/>
    <w:rsid w:val="3A267C15"/>
    <w:rsid w:val="3A2778EC"/>
    <w:rsid w:val="3A2A523E"/>
    <w:rsid w:val="3A324DCA"/>
    <w:rsid w:val="3A5C6CAB"/>
    <w:rsid w:val="3A622906"/>
    <w:rsid w:val="3A716D96"/>
    <w:rsid w:val="3A7966D0"/>
    <w:rsid w:val="3A7D5F5D"/>
    <w:rsid w:val="3A8278D0"/>
    <w:rsid w:val="3A881589"/>
    <w:rsid w:val="3A98763C"/>
    <w:rsid w:val="3AA426AB"/>
    <w:rsid w:val="3AA96778"/>
    <w:rsid w:val="3AB37C57"/>
    <w:rsid w:val="3ABC3728"/>
    <w:rsid w:val="3AC149D3"/>
    <w:rsid w:val="3ACA263D"/>
    <w:rsid w:val="3ACA3CAB"/>
    <w:rsid w:val="3AF14B97"/>
    <w:rsid w:val="3AFF1F0F"/>
    <w:rsid w:val="3B0803F7"/>
    <w:rsid w:val="3B29340B"/>
    <w:rsid w:val="3B3E017F"/>
    <w:rsid w:val="3B471407"/>
    <w:rsid w:val="3B486DA3"/>
    <w:rsid w:val="3B4F1467"/>
    <w:rsid w:val="3B5C0049"/>
    <w:rsid w:val="3B5D5211"/>
    <w:rsid w:val="3B681110"/>
    <w:rsid w:val="3B687557"/>
    <w:rsid w:val="3B8E47FE"/>
    <w:rsid w:val="3B915238"/>
    <w:rsid w:val="3B964C2F"/>
    <w:rsid w:val="3B9E0977"/>
    <w:rsid w:val="3B9E5A03"/>
    <w:rsid w:val="3BA07036"/>
    <w:rsid w:val="3BB1712E"/>
    <w:rsid w:val="3BB4505A"/>
    <w:rsid w:val="3BBC13FA"/>
    <w:rsid w:val="3BBE780C"/>
    <w:rsid w:val="3BC14DF6"/>
    <w:rsid w:val="3BC33990"/>
    <w:rsid w:val="3BC53D3A"/>
    <w:rsid w:val="3BC6611A"/>
    <w:rsid w:val="3BC80C95"/>
    <w:rsid w:val="3BC9042A"/>
    <w:rsid w:val="3BD621F5"/>
    <w:rsid w:val="3BDA4116"/>
    <w:rsid w:val="3BFA6456"/>
    <w:rsid w:val="3BFF6F7A"/>
    <w:rsid w:val="3C2632C5"/>
    <w:rsid w:val="3C3B4831"/>
    <w:rsid w:val="3C3D6629"/>
    <w:rsid w:val="3C3E2FDD"/>
    <w:rsid w:val="3C576604"/>
    <w:rsid w:val="3C580AC8"/>
    <w:rsid w:val="3C622D93"/>
    <w:rsid w:val="3C657850"/>
    <w:rsid w:val="3C745E26"/>
    <w:rsid w:val="3C785ED3"/>
    <w:rsid w:val="3C9045BE"/>
    <w:rsid w:val="3C951952"/>
    <w:rsid w:val="3CAB3B81"/>
    <w:rsid w:val="3CBE3863"/>
    <w:rsid w:val="3CC31B3B"/>
    <w:rsid w:val="3CD02135"/>
    <w:rsid w:val="3CE160B0"/>
    <w:rsid w:val="3CFC0385"/>
    <w:rsid w:val="3CFC74C5"/>
    <w:rsid w:val="3D0E4220"/>
    <w:rsid w:val="3D1D75A0"/>
    <w:rsid w:val="3D3204A3"/>
    <w:rsid w:val="3D3B678C"/>
    <w:rsid w:val="3D4971C1"/>
    <w:rsid w:val="3D555B4A"/>
    <w:rsid w:val="3D6E5F8D"/>
    <w:rsid w:val="3D71249F"/>
    <w:rsid w:val="3D8513E2"/>
    <w:rsid w:val="3D8D122E"/>
    <w:rsid w:val="3D943E10"/>
    <w:rsid w:val="3D9944D2"/>
    <w:rsid w:val="3DAC7E53"/>
    <w:rsid w:val="3DBA35F0"/>
    <w:rsid w:val="3DBC4F71"/>
    <w:rsid w:val="3DCE1511"/>
    <w:rsid w:val="3DDF069D"/>
    <w:rsid w:val="3DE12646"/>
    <w:rsid w:val="3DF306C9"/>
    <w:rsid w:val="3DF552B8"/>
    <w:rsid w:val="3E0C3E35"/>
    <w:rsid w:val="3E153289"/>
    <w:rsid w:val="3E1F3A38"/>
    <w:rsid w:val="3E3807D9"/>
    <w:rsid w:val="3E4057B7"/>
    <w:rsid w:val="3E440FA9"/>
    <w:rsid w:val="3E58522A"/>
    <w:rsid w:val="3E6626CF"/>
    <w:rsid w:val="3E6F1E81"/>
    <w:rsid w:val="3E751195"/>
    <w:rsid w:val="3E787F83"/>
    <w:rsid w:val="3E7A59CC"/>
    <w:rsid w:val="3E852036"/>
    <w:rsid w:val="3E873A02"/>
    <w:rsid w:val="3E8C0045"/>
    <w:rsid w:val="3E9B7E06"/>
    <w:rsid w:val="3E9D47F0"/>
    <w:rsid w:val="3EA46C50"/>
    <w:rsid w:val="3EA61BE6"/>
    <w:rsid w:val="3EAA51DB"/>
    <w:rsid w:val="3EAD56BB"/>
    <w:rsid w:val="3EB03489"/>
    <w:rsid w:val="3EB171E7"/>
    <w:rsid w:val="3ED277E4"/>
    <w:rsid w:val="3EDA6CD5"/>
    <w:rsid w:val="3EF27B69"/>
    <w:rsid w:val="3F0059EA"/>
    <w:rsid w:val="3F0A63A0"/>
    <w:rsid w:val="3F1C6AB7"/>
    <w:rsid w:val="3F273FE9"/>
    <w:rsid w:val="3F330D3F"/>
    <w:rsid w:val="3F42208F"/>
    <w:rsid w:val="3F4A3E74"/>
    <w:rsid w:val="3F525DFD"/>
    <w:rsid w:val="3F6238EA"/>
    <w:rsid w:val="3F6430EC"/>
    <w:rsid w:val="3F655939"/>
    <w:rsid w:val="3F6B76EA"/>
    <w:rsid w:val="3F6E4D66"/>
    <w:rsid w:val="3F6F0172"/>
    <w:rsid w:val="3FAA2484"/>
    <w:rsid w:val="3FAB6586"/>
    <w:rsid w:val="3FAF2AA1"/>
    <w:rsid w:val="3FBB6B63"/>
    <w:rsid w:val="3FDE1EAF"/>
    <w:rsid w:val="3FEC2088"/>
    <w:rsid w:val="3FED602E"/>
    <w:rsid w:val="3FF57F1D"/>
    <w:rsid w:val="3FFB1EAF"/>
    <w:rsid w:val="3FFF562D"/>
    <w:rsid w:val="400B3564"/>
    <w:rsid w:val="40142749"/>
    <w:rsid w:val="40172807"/>
    <w:rsid w:val="403314A0"/>
    <w:rsid w:val="40363E4D"/>
    <w:rsid w:val="403C003B"/>
    <w:rsid w:val="403C3248"/>
    <w:rsid w:val="40723392"/>
    <w:rsid w:val="40872D27"/>
    <w:rsid w:val="40922522"/>
    <w:rsid w:val="40926AAA"/>
    <w:rsid w:val="40994BAD"/>
    <w:rsid w:val="40A741D7"/>
    <w:rsid w:val="40AB2D67"/>
    <w:rsid w:val="40B15B30"/>
    <w:rsid w:val="40C11193"/>
    <w:rsid w:val="40C978DD"/>
    <w:rsid w:val="40CA4746"/>
    <w:rsid w:val="40CC7411"/>
    <w:rsid w:val="40D13FCF"/>
    <w:rsid w:val="40D17001"/>
    <w:rsid w:val="40F802BB"/>
    <w:rsid w:val="40F819B7"/>
    <w:rsid w:val="40F9024B"/>
    <w:rsid w:val="4107043F"/>
    <w:rsid w:val="41162E66"/>
    <w:rsid w:val="411C5C34"/>
    <w:rsid w:val="412A6606"/>
    <w:rsid w:val="412D6A65"/>
    <w:rsid w:val="41357FDB"/>
    <w:rsid w:val="414807BA"/>
    <w:rsid w:val="415C6C93"/>
    <w:rsid w:val="41644210"/>
    <w:rsid w:val="417675E7"/>
    <w:rsid w:val="418D5973"/>
    <w:rsid w:val="41991C5E"/>
    <w:rsid w:val="41A724E7"/>
    <w:rsid w:val="41B75508"/>
    <w:rsid w:val="41B80BA3"/>
    <w:rsid w:val="41E33A01"/>
    <w:rsid w:val="41F70A4E"/>
    <w:rsid w:val="42035E9D"/>
    <w:rsid w:val="42057DDA"/>
    <w:rsid w:val="42133FF9"/>
    <w:rsid w:val="42161AD9"/>
    <w:rsid w:val="42190880"/>
    <w:rsid w:val="421952D2"/>
    <w:rsid w:val="4225589E"/>
    <w:rsid w:val="423919BC"/>
    <w:rsid w:val="423F4EF9"/>
    <w:rsid w:val="4246476B"/>
    <w:rsid w:val="424731CD"/>
    <w:rsid w:val="42524A92"/>
    <w:rsid w:val="426A5A62"/>
    <w:rsid w:val="427236D4"/>
    <w:rsid w:val="42726706"/>
    <w:rsid w:val="42776525"/>
    <w:rsid w:val="427E2141"/>
    <w:rsid w:val="42801094"/>
    <w:rsid w:val="42804FA6"/>
    <w:rsid w:val="42836B5E"/>
    <w:rsid w:val="42890228"/>
    <w:rsid w:val="4294489C"/>
    <w:rsid w:val="429708EC"/>
    <w:rsid w:val="42A65897"/>
    <w:rsid w:val="42A96D08"/>
    <w:rsid w:val="42B8252A"/>
    <w:rsid w:val="42BE7722"/>
    <w:rsid w:val="42C5011A"/>
    <w:rsid w:val="42C56E8D"/>
    <w:rsid w:val="42E2454C"/>
    <w:rsid w:val="42E84274"/>
    <w:rsid w:val="42ED0D8B"/>
    <w:rsid w:val="42F467DB"/>
    <w:rsid w:val="42FD02D9"/>
    <w:rsid w:val="43110C4E"/>
    <w:rsid w:val="43314636"/>
    <w:rsid w:val="433A6923"/>
    <w:rsid w:val="43494537"/>
    <w:rsid w:val="43593521"/>
    <w:rsid w:val="43667EDC"/>
    <w:rsid w:val="436924E5"/>
    <w:rsid w:val="436E2F35"/>
    <w:rsid w:val="43724F92"/>
    <w:rsid w:val="437B7794"/>
    <w:rsid w:val="437C2DDE"/>
    <w:rsid w:val="437C5077"/>
    <w:rsid w:val="437C7B14"/>
    <w:rsid w:val="438457FE"/>
    <w:rsid w:val="43855E7E"/>
    <w:rsid w:val="438836AC"/>
    <w:rsid w:val="438A2D3B"/>
    <w:rsid w:val="439B2CC5"/>
    <w:rsid w:val="43A76B84"/>
    <w:rsid w:val="43C47B2A"/>
    <w:rsid w:val="43DA7043"/>
    <w:rsid w:val="43F84FCF"/>
    <w:rsid w:val="440546BD"/>
    <w:rsid w:val="441F2432"/>
    <w:rsid w:val="441F337B"/>
    <w:rsid w:val="44224A38"/>
    <w:rsid w:val="44235C19"/>
    <w:rsid w:val="44306B8D"/>
    <w:rsid w:val="4432100B"/>
    <w:rsid w:val="443A06EF"/>
    <w:rsid w:val="443C5411"/>
    <w:rsid w:val="44463AEE"/>
    <w:rsid w:val="44552358"/>
    <w:rsid w:val="44574979"/>
    <w:rsid w:val="44590AA0"/>
    <w:rsid w:val="4463561A"/>
    <w:rsid w:val="44710E07"/>
    <w:rsid w:val="44726023"/>
    <w:rsid w:val="44892C17"/>
    <w:rsid w:val="448C4EE6"/>
    <w:rsid w:val="449273F3"/>
    <w:rsid w:val="44967259"/>
    <w:rsid w:val="44A057F7"/>
    <w:rsid w:val="44AA6C77"/>
    <w:rsid w:val="44AE2EC7"/>
    <w:rsid w:val="44AE33D2"/>
    <w:rsid w:val="44C91F22"/>
    <w:rsid w:val="44CF0181"/>
    <w:rsid w:val="44E03AA9"/>
    <w:rsid w:val="44E051AF"/>
    <w:rsid w:val="44F33446"/>
    <w:rsid w:val="44F9381D"/>
    <w:rsid w:val="44FD30D4"/>
    <w:rsid w:val="451E2BEC"/>
    <w:rsid w:val="4524337D"/>
    <w:rsid w:val="453555FD"/>
    <w:rsid w:val="453629F6"/>
    <w:rsid w:val="453A42F3"/>
    <w:rsid w:val="453D276E"/>
    <w:rsid w:val="453E3402"/>
    <w:rsid w:val="453F2ACB"/>
    <w:rsid w:val="45534AB7"/>
    <w:rsid w:val="45711D3E"/>
    <w:rsid w:val="4573146D"/>
    <w:rsid w:val="45752B35"/>
    <w:rsid w:val="4575664E"/>
    <w:rsid w:val="45771904"/>
    <w:rsid w:val="45772742"/>
    <w:rsid w:val="458E3DD8"/>
    <w:rsid w:val="4592054A"/>
    <w:rsid w:val="45AC01B6"/>
    <w:rsid w:val="45B9462F"/>
    <w:rsid w:val="45BB75E0"/>
    <w:rsid w:val="45C704CA"/>
    <w:rsid w:val="45E558B0"/>
    <w:rsid w:val="45EE261A"/>
    <w:rsid w:val="45F53196"/>
    <w:rsid w:val="45F5786D"/>
    <w:rsid w:val="45F7794D"/>
    <w:rsid w:val="45FA00D5"/>
    <w:rsid w:val="45FA27B3"/>
    <w:rsid w:val="46034AFE"/>
    <w:rsid w:val="460C4950"/>
    <w:rsid w:val="460F1AAE"/>
    <w:rsid w:val="461C7F6F"/>
    <w:rsid w:val="46201B6B"/>
    <w:rsid w:val="46270AC3"/>
    <w:rsid w:val="462D3D91"/>
    <w:rsid w:val="462E17FD"/>
    <w:rsid w:val="46467DB9"/>
    <w:rsid w:val="46510063"/>
    <w:rsid w:val="465507F4"/>
    <w:rsid w:val="465B063C"/>
    <w:rsid w:val="465B74B4"/>
    <w:rsid w:val="465F37AB"/>
    <w:rsid w:val="466E5355"/>
    <w:rsid w:val="467457FF"/>
    <w:rsid w:val="467535B3"/>
    <w:rsid w:val="468473B1"/>
    <w:rsid w:val="468D58A5"/>
    <w:rsid w:val="468E189B"/>
    <w:rsid w:val="46950DD1"/>
    <w:rsid w:val="469B5811"/>
    <w:rsid w:val="469D7999"/>
    <w:rsid w:val="469F598D"/>
    <w:rsid w:val="46A9311A"/>
    <w:rsid w:val="46AB6C0F"/>
    <w:rsid w:val="46B47E91"/>
    <w:rsid w:val="46B77A43"/>
    <w:rsid w:val="46CC2ECB"/>
    <w:rsid w:val="46CC52C0"/>
    <w:rsid w:val="46DC0CCE"/>
    <w:rsid w:val="46DE0598"/>
    <w:rsid w:val="46E36922"/>
    <w:rsid w:val="46ED2267"/>
    <w:rsid w:val="46F55C64"/>
    <w:rsid w:val="46FC4F07"/>
    <w:rsid w:val="46FE5F22"/>
    <w:rsid w:val="471702EC"/>
    <w:rsid w:val="47272C72"/>
    <w:rsid w:val="472B5A18"/>
    <w:rsid w:val="473530FE"/>
    <w:rsid w:val="474120EF"/>
    <w:rsid w:val="474328D2"/>
    <w:rsid w:val="47445848"/>
    <w:rsid w:val="47456B54"/>
    <w:rsid w:val="475D17ED"/>
    <w:rsid w:val="47660DC8"/>
    <w:rsid w:val="47697720"/>
    <w:rsid w:val="4771450E"/>
    <w:rsid w:val="478D2670"/>
    <w:rsid w:val="47981B79"/>
    <w:rsid w:val="479E3E74"/>
    <w:rsid w:val="47C42A54"/>
    <w:rsid w:val="47CF15FF"/>
    <w:rsid w:val="47DD238A"/>
    <w:rsid w:val="47E252FC"/>
    <w:rsid w:val="47E45B1F"/>
    <w:rsid w:val="47EA1E46"/>
    <w:rsid w:val="47ED451E"/>
    <w:rsid w:val="4805514D"/>
    <w:rsid w:val="48155E64"/>
    <w:rsid w:val="483B340A"/>
    <w:rsid w:val="483D7960"/>
    <w:rsid w:val="483F355C"/>
    <w:rsid w:val="48495693"/>
    <w:rsid w:val="484963E1"/>
    <w:rsid w:val="4851541A"/>
    <w:rsid w:val="48575CAD"/>
    <w:rsid w:val="48706DE0"/>
    <w:rsid w:val="48767E78"/>
    <w:rsid w:val="487732C5"/>
    <w:rsid w:val="487D4A32"/>
    <w:rsid w:val="487F3927"/>
    <w:rsid w:val="48902FA0"/>
    <w:rsid w:val="48996FC6"/>
    <w:rsid w:val="48AE03FE"/>
    <w:rsid w:val="48B64997"/>
    <w:rsid w:val="48B94CDE"/>
    <w:rsid w:val="48C803CC"/>
    <w:rsid w:val="48E07893"/>
    <w:rsid w:val="48E80904"/>
    <w:rsid w:val="48EA1C5E"/>
    <w:rsid w:val="48F65E77"/>
    <w:rsid w:val="490347E6"/>
    <w:rsid w:val="490510E4"/>
    <w:rsid w:val="49157F95"/>
    <w:rsid w:val="491C2CDD"/>
    <w:rsid w:val="49210F2D"/>
    <w:rsid w:val="49285FF8"/>
    <w:rsid w:val="49304900"/>
    <w:rsid w:val="49311BC6"/>
    <w:rsid w:val="494320A5"/>
    <w:rsid w:val="49623158"/>
    <w:rsid w:val="49627F43"/>
    <w:rsid w:val="49773662"/>
    <w:rsid w:val="49A13410"/>
    <w:rsid w:val="49B912E1"/>
    <w:rsid w:val="49C17CC8"/>
    <w:rsid w:val="49D47DAD"/>
    <w:rsid w:val="49D93CCD"/>
    <w:rsid w:val="49E37B10"/>
    <w:rsid w:val="49EF2068"/>
    <w:rsid w:val="49F01357"/>
    <w:rsid w:val="49F86D02"/>
    <w:rsid w:val="4A274C29"/>
    <w:rsid w:val="4A294C35"/>
    <w:rsid w:val="4A2D2E24"/>
    <w:rsid w:val="4A3D182F"/>
    <w:rsid w:val="4A41252B"/>
    <w:rsid w:val="4A490AFE"/>
    <w:rsid w:val="4A576781"/>
    <w:rsid w:val="4A5C3B5C"/>
    <w:rsid w:val="4A63122E"/>
    <w:rsid w:val="4A696BF7"/>
    <w:rsid w:val="4A75484A"/>
    <w:rsid w:val="4A8D56EC"/>
    <w:rsid w:val="4A943456"/>
    <w:rsid w:val="4A996D87"/>
    <w:rsid w:val="4AA31252"/>
    <w:rsid w:val="4AA855E2"/>
    <w:rsid w:val="4AB520F2"/>
    <w:rsid w:val="4AC11E5E"/>
    <w:rsid w:val="4AC1761D"/>
    <w:rsid w:val="4AC6727B"/>
    <w:rsid w:val="4AC713E2"/>
    <w:rsid w:val="4AE174C3"/>
    <w:rsid w:val="4AED0B7E"/>
    <w:rsid w:val="4AEF6A4F"/>
    <w:rsid w:val="4AFB795C"/>
    <w:rsid w:val="4B00118B"/>
    <w:rsid w:val="4B0B0126"/>
    <w:rsid w:val="4B20559C"/>
    <w:rsid w:val="4B2F7ECE"/>
    <w:rsid w:val="4B314B42"/>
    <w:rsid w:val="4B405C63"/>
    <w:rsid w:val="4B437B43"/>
    <w:rsid w:val="4B480091"/>
    <w:rsid w:val="4B4E17B8"/>
    <w:rsid w:val="4B6036DE"/>
    <w:rsid w:val="4B62543F"/>
    <w:rsid w:val="4B662401"/>
    <w:rsid w:val="4B7349BB"/>
    <w:rsid w:val="4B790016"/>
    <w:rsid w:val="4B853F31"/>
    <w:rsid w:val="4B9F4AA5"/>
    <w:rsid w:val="4BB2274B"/>
    <w:rsid w:val="4BB816AC"/>
    <w:rsid w:val="4BD318D6"/>
    <w:rsid w:val="4C0E13DD"/>
    <w:rsid w:val="4C12073B"/>
    <w:rsid w:val="4C1F3F0E"/>
    <w:rsid w:val="4C302E2E"/>
    <w:rsid w:val="4C4342BB"/>
    <w:rsid w:val="4C467B64"/>
    <w:rsid w:val="4C4B13DC"/>
    <w:rsid w:val="4C4E03FC"/>
    <w:rsid w:val="4C666290"/>
    <w:rsid w:val="4C743C17"/>
    <w:rsid w:val="4C7567FF"/>
    <w:rsid w:val="4C7C2DA8"/>
    <w:rsid w:val="4C7C478A"/>
    <w:rsid w:val="4C85255D"/>
    <w:rsid w:val="4C92024F"/>
    <w:rsid w:val="4C9929F7"/>
    <w:rsid w:val="4C9F508A"/>
    <w:rsid w:val="4CA07714"/>
    <w:rsid w:val="4CAF0EEB"/>
    <w:rsid w:val="4CB2419C"/>
    <w:rsid w:val="4CB2505A"/>
    <w:rsid w:val="4CC74301"/>
    <w:rsid w:val="4CC7705C"/>
    <w:rsid w:val="4CCC66FB"/>
    <w:rsid w:val="4CD63DAD"/>
    <w:rsid w:val="4CDD4367"/>
    <w:rsid w:val="4CDF7C36"/>
    <w:rsid w:val="4CE20283"/>
    <w:rsid w:val="4CF31D72"/>
    <w:rsid w:val="4D0601D1"/>
    <w:rsid w:val="4D0B642F"/>
    <w:rsid w:val="4D1B4B8F"/>
    <w:rsid w:val="4D287FA1"/>
    <w:rsid w:val="4D334CB2"/>
    <w:rsid w:val="4D3950E1"/>
    <w:rsid w:val="4D4F4C49"/>
    <w:rsid w:val="4D533CA6"/>
    <w:rsid w:val="4D540744"/>
    <w:rsid w:val="4D5A14DF"/>
    <w:rsid w:val="4D5F3F66"/>
    <w:rsid w:val="4D6156B7"/>
    <w:rsid w:val="4D701D7E"/>
    <w:rsid w:val="4D74207A"/>
    <w:rsid w:val="4D771D88"/>
    <w:rsid w:val="4D7E6B7F"/>
    <w:rsid w:val="4D994EEE"/>
    <w:rsid w:val="4D9F6445"/>
    <w:rsid w:val="4DA17998"/>
    <w:rsid w:val="4DA46D80"/>
    <w:rsid w:val="4DA63B6C"/>
    <w:rsid w:val="4DA77B8E"/>
    <w:rsid w:val="4DC2305C"/>
    <w:rsid w:val="4DC3520A"/>
    <w:rsid w:val="4DD51FDD"/>
    <w:rsid w:val="4DDF7A33"/>
    <w:rsid w:val="4DF743DE"/>
    <w:rsid w:val="4DFD35AD"/>
    <w:rsid w:val="4DFF16F7"/>
    <w:rsid w:val="4DFF582E"/>
    <w:rsid w:val="4E011953"/>
    <w:rsid w:val="4E120DE7"/>
    <w:rsid w:val="4E264FCA"/>
    <w:rsid w:val="4E387A52"/>
    <w:rsid w:val="4E3936E3"/>
    <w:rsid w:val="4E3C2F41"/>
    <w:rsid w:val="4E535459"/>
    <w:rsid w:val="4E556DA1"/>
    <w:rsid w:val="4E667462"/>
    <w:rsid w:val="4E6A323F"/>
    <w:rsid w:val="4E8D3350"/>
    <w:rsid w:val="4E9201FC"/>
    <w:rsid w:val="4E9A52AD"/>
    <w:rsid w:val="4EA521B5"/>
    <w:rsid w:val="4EAC2CDC"/>
    <w:rsid w:val="4EB24CE6"/>
    <w:rsid w:val="4EE23B46"/>
    <w:rsid w:val="4EEB0342"/>
    <w:rsid w:val="4EEC4CD6"/>
    <w:rsid w:val="4EEE061F"/>
    <w:rsid w:val="4EFA7721"/>
    <w:rsid w:val="4EFC117F"/>
    <w:rsid w:val="4F1F4C18"/>
    <w:rsid w:val="4F20001A"/>
    <w:rsid w:val="4F35453B"/>
    <w:rsid w:val="4F3D43F7"/>
    <w:rsid w:val="4F40407B"/>
    <w:rsid w:val="4F476A9D"/>
    <w:rsid w:val="4F484DFB"/>
    <w:rsid w:val="4F4C4AF3"/>
    <w:rsid w:val="4F4F643A"/>
    <w:rsid w:val="4F5D249E"/>
    <w:rsid w:val="4F7222F1"/>
    <w:rsid w:val="4F736124"/>
    <w:rsid w:val="4F797603"/>
    <w:rsid w:val="4F7A23F9"/>
    <w:rsid w:val="4F8964D0"/>
    <w:rsid w:val="4F90635F"/>
    <w:rsid w:val="4FCF40FC"/>
    <w:rsid w:val="4FD52FCB"/>
    <w:rsid w:val="4FEF333D"/>
    <w:rsid w:val="50165C35"/>
    <w:rsid w:val="501D765F"/>
    <w:rsid w:val="501E42E0"/>
    <w:rsid w:val="501F0B57"/>
    <w:rsid w:val="502964B7"/>
    <w:rsid w:val="5032300F"/>
    <w:rsid w:val="5040495D"/>
    <w:rsid w:val="5040612F"/>
    <w:rsid w:val="5052538B"/>
    <w:rsid w:val="50527956"/>
    <w:rsid w:val="50546041"/>
    <w:rsid w:val="505E0FA2"/>
    <w:rsid w:val="506866D4"/>
    <w:rsid w:val="506D23CF"/>
    <w:rsid w:val="50746AE8"/>
    <w:rsid w:val="507C1E80"/>
    <w:rsid w:val="50836AB4"/>
    <w:rsid w:val="50962C51"/>
    <w:rsid w:val="50AA4E74"/>
    <w:rsid w:val="50AB527B"/>
    <w:rsid w:val="50AD379D"/>
    <w:rsid w:val="50AF6CFC"/>
    <w:rsid w:val="50B17ECD"/>
    <w:rsid w:val="50B20DC6"/>
    <w:rsid w:val="50B2355A"/>
    <w:rsid w:val="50C62714"/>
    <w:rsid w:val="50C87591"/>
    <w:rsid w:val="50D125CD"/>
    <w:rsid w:val="50E6039B"/>
    <w:rsid w:val="50E76FC0"/>
    <w:rsid w:val="51045630"/>
    <w:rsid w:val="51142C43"/>
    <w:rsid w:val="51154C22"/>
    <w:rsid w:val="512D22B4"/>
    <w:rsid w:val="51306825"/>
    <w:rsid w:val="51325B25"/>
    <w:rsid w:val="515125D3"/>
    <w:rsid w:val="515C2B55"/>
    <w:rsid w:val="51646212"/>
    <w:rsid w:val="51782714"/>
    <w:rsid w:val="5184209A"/>
    <w:rsid w:val="51862DF9"/>
    <w:rsid w:val="51B2574C"/>
    <w:rsid w:val="51BE0C13"/>
    <w:rsid w:val="51D72B25"/>
    <w:rsid w:val="51DF698D"/>
    <w:rsid w:val="51E97199"/>
    <w:rsid w:val="51ED5718"/>
    <w:rsid w:val="51F0382E"/>
    <w:rsid w:val="51F46318"/>
    <w:rsid w:val="520E0D15"/>
    <w:rsid w:val="520F190D"/>
    <w:rsid w:val="522A1023"/>
    <w:rsid w:val="522B0DFE"/>
    <w:rsid w:val="522F3579"/>
    <w:rsid w:val="52395679"/>
    <w:rsid w:val="523E3278"/>
    <w:rsid w:val="523F57AE"/>
    <w:rsid w:val="524F66D4"/>
    <w:rsid w:val="525A1513"/>
    <w:rsid w:val="52786D6B"/>
    <w:rsid w:val="527C4CBB"/>
    <w:rsid w:val="528173D0"/>
    <w:rsid w:val="528571C6"/>
    <w:rsid w:val="528745FD"/>
    <w:rsid w:val="52902350"/>
    <w:rsid w:val="529430B7"/>
    <w:rsid w:val="529E3912"/>
    <w:rsid w:val="52A86C49"/>
    <w:rsid w:val="52B24091"/>
    <w:rsid w:val="52C54A01"/>
    <w:rsid w:val="52C7448D"/>
    <w:rsid w:val="52E871A9"/>
    <w:rsid w:val="53056972"/>
    <w:rsid w:val="531748E7"/>
    <w:rsid w:val="53386493"/>
    <w:rsid w:val="53522D1C"/>
    <w:rsid w:val="53562587"/>
    <w:rsid w:val="537372E2"/>
    <w:rsid w:val="537C28A8"/>
    <w:rsid w:val="537D6696"/>
    <w:rsid w:val="539240DF"/>
    <w:rsid w:val="53B12388"/>
    <w:rsid w:val="53B53E71"/>
    <w:rsid w:val="53BF3FB0"/>
    <w:rsid w:val="53C82FC1"/>
    <w:rsid w:val="53D56421"/>
    <w:rsid w:val="53EC112E"/>
    <w:rsid w:val="53ED48A8"/>
    <w:rsid w:val="54045F23"/>
    <w:rsid w:val="54165D6B"/>
    <w:rsid w:val="54251D7A"/>
    <w:rsid w:val="54341240"/>
    <w:rsid w:val="54560E2A"/>
    <w:rsid w:val="546449EC"/>
    <w:rsid w:val="546A2596"/>
    <w:rsid w:val="547B6133"/>
    <w:rsid w:val="548639AB"/>
    <w:rsid w:val="54916CF1"/>
    <w:rsid w:val="54937664"/>
    <w:rsid w:val="549438B0"/>
    <w:rsid w:val="549C54BA"/>
    <w:rsid w:val="54A014E9"/>
    <w:rsid w:val="54AB35EF"/>
    <w:rsid w:val="54BF3EE9"/>
    <w:rsid w:val="54C538BB"/>
    <w:rsid w:val="54E312D9"/>
    <w:rsid w:val="54E57A35"/>
    <w:rsid w:val="54EE051E"/>
    <w:rsid w:val="54F84EFB"/>
    <w:rsid w:val="55051A61"/>
    <w:rsid w:val="550F696E"/>
    <w:rsid w:val="55133990"/>
    <w:rsid w:val="552B01B5"/>
    <w:rsid w:val="552F0BE0"/>
    <w:rsid w:val="553C3974"/>
    <w:rsid w:val="555B53DA"/>
    <w:rsid w:val="55653B41"/>
    <w:rsid w:val="557B4B3E"/>
    <w:rsid w:val="557D3939"/>
    <w:rsid w:val="557E128B"/>
    <w:rsid w:val="55A35B13"/>
    <w:rsid w:val="55A9383F"/>
    <w:rsid w:val="55AB7A33"/>
    <w:rsid w:val="55B317AA"/>
    <w:rsid w:val="55B57295"/>
    <w:rsid w:val="55B648D2"/>
    <w:rsid w:val="55CE3955"/>
    <w:rsid w:val="55D462AC"/>
    <w:rsid w:val="55E00D43"/>
    <w:rsid w:val="55E14A9F"/>
    <w:rsid w:val="55E92EC7"/>
    <w:rsid w:val="55FA1A06"/>
    <w:rsid w:val="55FD265E"/>
    <w:rsid w:val="560C4D77"/>
    <w:rsid w:val="56160117"/>
    <w:rsid w:val="562F6663"/>
    <w:rsid w:val="56342317"/>
    <w:rsid w:val="56350628"/>
    <w:rsid w:val="563D08C7"/>
    <w:rsid w:val="56441F45"/>
    <w:rsid w:val="56482452"/>
    <w:rsid w:val="56542393"/>
    <w:rsid w:val="565C7E2A"/>
    <w:rsid w:val="568A0C52"/>
    <w:rsid w:val="56A209D8"/>
    <w:rsid w:val="56A67782"/>
    <w:rsid w:val="56BA0EE7"/>
    <w:rsid w:val="56BE383C"/>
    <w:rsid w:val="56C257EE"/>
    <w:rsid w:val="56CE4143"/>
    <w:rsid w:val="56DC7624"/>
    <w:rsid w:val="56DD74D9"/>
    <w:rsid w:val="56E33CD3"/>
    <w:rsid w:val="56F14337"/>
    <w:rsid w:val="56F77793"/>
    <w:rsid w:val="57057F57"/>
    <w:rsid w:val="570E49A7"/>
    <w:rsid w:val="571635B1"/>
    <w:rsid w:val="57174227"/>
    <w:rsid w:val="57174F48"/>
    <w:rsid w:val="5728042F"/>
    <w:rsid w:val="57344235"/>
    <w:rsid w:val="573461EE"/>
    <w:rsid w:val="57473F61"/>
    <w:rsid w:val="57521632"/>
    <w:rsid w:val="57577F8C"/>
    <w:rsid w:val="576611DC"/>
    <w:rsid w:val="576B1DBE"/>
    <w:rsid w:val="57743BE2"/>
    <w:rsid w:val="579A4024"/>
    <w:rsid w:val="579E7100"/>
    <w:rsid w:val="57A948E6"/>
    <w:rsid w:val="57AD4D49"/>
    <w:rsid w:val="57AE2816"/>
    <w:rsid w:val="57B14F9C"/>
    <w:rsid w:val="57C6410D"/>
    <w:rsid w:val="57CB0FE6"/>
    <w:rsid w:val="57D27405"/>
    <w:rsid w:val="57EF13FA"/>
    <w:rsid w:val="57F52637"/>
    <w:rsid w:val="57FD2D92"/>
    <w:rsid w:val="58022914"/>
    <w:rsid w:val="5803542F"/>
    <w:rsid w:val="58232DBD"/>
    <w:rsid w:val="582A1C11"/>
    <w:rsid w:val="584D03C6"/>
    <w:rsid w:val="584E69A3"/>
    <w:rsid w:val="58600AE4"/>
    <w:rsid w:val="587A49FF"/>
    <w:rsid w:val="587D02A0"/>
    <w:rsid w:val="58911376"/>
    <w:rsid w:val="58940C7B"/>
    <w:rsid w:val="58946AC0"/>
    <w:rsid w:val="589C70D0"/>
    <w:rsid w:val="58A370B2"/>
    <w:rsid w:val="58ED2EFC"/>
    <w:rsid w:val="59010DC5"/>
    <w:rsid w:val="590331C2"/>
    <w:rsid w:val="5908605F"/>
    <w:rsid w:val="590D2535"/>
    <w:rsid w:val="59113013"/>
    <w:rsid w:val="59174200"/>
    <w:rsid w:val="596E303D"/>
    <w:rsid w:val="59777035"/>
    <w:rsid w:val="598A30C3"/>
    <w:rsid w:val="598D108B"/>
    <w:rsid w:val="598D7E08"/>
    <w:rsid w:val="59906582"/>
    <w:rsid w:val="59B3098B"/>
    <w:rsid w:val="59C97294"/>
    <w:rsid w:val="59CF626A"/>
    <w:rsid w:val="59D0027C"/>
    <w:rsid w:val="59D97C07"/>
    <w:rsid w:val="59DC70B2"/>
    <w:rsid w:val="59E447D4"/>
    <w:rsid w:val="59F57BBC"/>
    <w:rsid w:val="59F95EFF"/>
    <w:rsid w:val="5A1743BB"/>
    <w:rsid w:val="5A2C3BB0"/>
    <w:rsid w:val="5A421D63"/>
    <w:rsid w:val="5A426DC0"/>
    <w:rsid w:val="5A490DF8"/>
    <w:rsid w:val="5A5204A5"/>
    <w:rsid w:val="5A5E0744"/>
    <w:rsid w:val="5A675A23"/>
    <w:rsid w:val="5A6B33C2"/>
    <w:rsid w:val="5A726CDE"/>
    <w:rsid w:val="5A761B64"/>
    <w:rsid w:val="5A7F1595"/>
    <w:rsid w:val="5A817558"/>
    <w:rsid w:val="5A82161E"/>
    <w:rsid w:val="5A8552C9"/>
    <w:rsid w:val="5A8D432F"/>
    <w:rsid w:val="5A967D03"/>
    <w:rsid w:val="5A9A7DEF"/>
    <w:rsid w:val="5AA74453"/>
    <w:rsid w:val="5AB16FA6"/>
    <w:rsid w:val="5AB44FD5"/>
    <w:rsid w:val="5ABA62D4"/>
    <w:rsid w:val="5AC243E0"/>
    <w:rsid w:val="5AEE71C8"/>
    <w:rsid w:val="5AF90C2D"/>
    <w:rsid w:val="5AFB4658"/>
    <w:rsid w:val="5B0052EB"/>
    <w:rsid w:val="5B0B3A53"/>
    <w:rsid w:val="5B131CD1"/>
    <w:rsid w:val="5B140F6B"/>
    <w:rsid w:val="5B2B39E6"/>
    <w:rsid w:val="5B362299"/>
    <w:rsid w:val="5B732367"/>
    <w:rsid w:val="5B7365FD"/>
    <w:rsid w:val="5B921B48"/>
    <w:rsid w:val="5B930EF2"/>
    <w:rsid w:val="5BA46FDC"/>
    <w:rsid w:val="5BAB4CAA"/>
    <w:rsid w:val="5BBD000D"/>
    <w:rsid w:val="5BC23D1F"/>
    <w:rsid w:val="5BC56728"/>
    <w:rsid w:val="5BD06D27"/>
    <w:rsid w:val="5BD31647"/>
    <w:rsid w:val="5BD524F5"/>
    <w:rsid w:val="5BDA7889"/>
    <w:rsid w:val="5BDE4506"/>
    <w:rsid w:val="5BE07E67"/>
    <w:rsid w:val="5BE55772"/>
    <w:rsid w:val="5BFF7115"/>
    <w:rsid w:val="5C000F86"/>
    <w:rsid w:val="5C0716CE"/>
    <w:rsid w:val="5C0B5C9F"/>
    <w:rsid w:val="5C2B4E42"/>
    <w:rsid w:val="5C3228C8"/>
    <w:rsid w:val="5C341EA1"/>
    <w:rsid w:val="5C3957F1"/>
    <w:rsid w:val="5C3F4B2D"/>
    <w:rsid w:val="5C6A7661"/>
    <w:rsid w:val="5C6F5732"/>
    <w:rsid w:val="5C741FC5"/>
    <w:rsid w:val="5C7E3C9B"/>
    <w:rsid w:val="5C81040B"/>
    <w:rsid w:val="5C8E1E23"/>
    <w:rsid w:val="5C911623"/>
    <w:rsid w:val="5CA90C32"/>
    <w:rsid w:val="5CB74350"/>
    <w:rsid w:val="5CC43F16"/>
    <w:rsid w:val="5CCA6B14"/>
    <w:rsid w:val="5CDB7DCD"/>
    <w:rsid w:val="5CE61EF3"/>
    <w:rsid w:val="5CE641C4"/>
    <w:rsid w:val="5CED52E3"/>
    <w:rsid w:val="5CF150D1"/>
    <w:rsid w:val="5CFB6CFA"/>
    <w:rsid w:val="5D017165"/>
    <w:rsid w:val="5D021B2A"/>
    <w:rsid w:val="5D12005E"/>
    <w:rsid w:val="5D125578"/>
    <w:rsid w:val="5D20648A"/>
    <w:rsid w:val="5D3A43BC"/>
    <w:rsid w:val="5D3A48DA"/>
    <w:rsid w:val="5D3E0325"/>
    <w:rsid w:val="5D5E6EBA"/>
    <w:rsid w:val="5D7B2A82"/>
    <w:rsid w:val="5D7C65FC"/>
    <w:rsid w:val="5D937878"/>
    <w:rsid w:val="5D9B4282"/>
    <w:rsid w:val="5DA32202"/>
    <w:rsid w:val="5DAF49E2"/>
    <w:rsid w:val="5DB22637"/>
    <w:rsid w:val="5DB56023"/>
    <w:rsid w:val="5DD3103D"/>
    <w:rsid w:val="5DD52F39"/>
    <w:rsid w:val="5DDA6353"/>
    <w:rsid w:val="5DDE7FA0"/>
    <w:rsid w:val="5DE078B5"/>
    <w:rsid w:val="5DE5435F"/>
    <w:rsid w:val="5DF6166C"/>
    <w:rsid w:val="5E1F5434"/>
    <w:rsid w:val="5E2062E1"/>
    <w:rsid w:val="5E265F8F"/>
    <w:rsid w:val="5E285637"/>
    <w:rsid w:val="5E3F52D0"/>
    <w:rsid w:val="5E411707"/>
    <w:rsid w:val="5E49664C"/>
    <w:rsid w:val="5E500669"/>
    <w:rsid w:val="5E6A4636"/>
    <w:rsid w:val="5E6B61B9"/>
    <w:rsid w:val="5E6F5AD4"/>
    <w:rsid w:val="5E85103C"/>
    <w:rsid w:val="5E8E6DCF"/>
    <w:rsid w:val="5E921D3B"/>
    <w:rsid w:val="5EA4538E"/>
    <w:rsid w:val="5EAF7D61"/>
    <w:rsid w:val="5EB3463D"/>
    <w:rsid w:val="5EC84DD7"/>
    <w:rsid w:val="5EE90F73"/>
    <w:rsid w:val="5F0238D6"/>
    <w:rsid w:val="5F082F30"/>
    <w:rsid w:val="5F0A441E"/>
    <w:rsid w:val="5F1E68E6"/>
    <w:rsid w:val="5F31206A"/>
    <w:rsid w:val="5F361A2D"/>
    <w:rsid w:val="5F4C5F25"/>
    <w:rsid w:val="5F510A7E"/>
    <w:rsid w:val="5F525F73"/>
    <w:rsid w:val="5F5D7112"/>
    <w:rsid w:val="5F670774"/>
    <w:rsid w:val="5F6A1B70"/>
    <w:rsid w:val="5F7024EE"/>
    <w:rsid w:val="5F715BC5"/>
    <w:rsid w:val="5F750BC6"/>
    <w:rsid w:val="5F767208"/>
    <w:rsid w:val="5F7676EC"/>
    <w:rsid w:val="5F91468E"/>
    <w:rsid w:val="5F953252"/>
    <w:rsid w:val="5FA26982"/>
    <w:rsid w:val="5FAE38CF"/>
    <w:rsid w:val="5FC15F0A"/>
    <w:rsid w:val="5FD4025E"/>
    <w:rsid w:val="5FE553EF"/>
    <w:rsid w:val="5FF121CC"/>
    <w:rsid w:val="600A2446"/>
    <w:rsid w:val="600F76B4"/>
    <w:rsid w:val="601151B3"/>
    <w:rsid w:val="601434B6"/>
    <w:rsid w:val="60214950"/>
    <w:rsid w:val="60251E39"/>
    <w:rsid w:val="602577CD"/>
    <w:rsid w:val="60530043"/>
    <w:rsid w:val="60663EF6"/>
    <w:rsid w:val="60681414"/>
    <w:rsid w:val="60740C1C"/>
    <w:rsid w:val="607F46E1"/>
    <w:rsid w:val="60803AC9"/>
    <w:rsid w:val="60810C99"/>
    <w:rsid w:val="60886064"/>
    <w:rsid w:val="608D5D82"/>
    <w:rsid w:val="609625F1"/>
    <w:rsid w:val="60B64199"/>
    <w:rsid w:val="60BA5D81"/>
    <w:rsid w:val="60BD18F6"/>
    <w:rsid w:val="60C60143"/>
    <w:rsid w:val="60D24C47"/>
    <w:rsid w:val="60DA66FD"/>
    <w:rsid w:val="60E73DEF"/>
    <w:rsid w:val="60F41E02"/>
    <w:rsid w:val="60FD54F9"/>
    <w:rsid w:val="61034239"/>
    <w:rsid w:val="61061F1B"/>
    <w:rsid w:val="6115482C"/>
    <w:rsid w:val="61166ED8"/>
    <w:rsid w:val="611745E9"/>
    <w:rsid w:val="611D5B76"/>
    <w:rsid w:val="61220C45"/>
    <w:rsid w:val="612E3D5E"/>
    <w:rsid w:val="6145498D"/>
    <w:rsid w:val="61483841"/>
    <w:rsid w:val="614F5725"/>
    <w:rsid w:val="61562086"/>
    <w:rsid w:val="615E2F03"/>
    <w:rsid w:val="61670357"/>
    <w:rsid w:val="61892F41"/>
    <w:rsid w:val="618A586B"/>
    <w:rsid w:val="618B2659"/>
    <w:rsid w:val="6197726E"/>
    <w:rsid w:val="61A15A6D"/>
    <w:rsid w:val="61AC72A7"/>
    <w:rsid w:val="61B33310"/>
    <w:rsid w:val="61BC5FAB"/>
    <w:rsid w:val="61C11CA5"/>
    <w:rsid w:val="61D52403"/>
    <w:rsid w:val="61DE2EC4"/>
    <w:rsid w:val="61DE3C5B"/>
    <w:rsid w:val="61E14608"/>
    <w:rsid w:val="61E6393A"/>
    <w:rsid w:val="61F82AEE"/>
    <w:rsid w:val="61FD7979"/>
    <w:rsid w:val="621359C2"/>
    <w:rsid w:val="62135DA8"/>
    <w:rsid w:val="6216637A"/>
    <w:rsid w:val="62256CB8"/>
    <w:rsid w:val="622D77A9"/>
    <w:rsid w:val="62400040"/>
    <w:rsid w:val="6243531D"/>
    <w:rsid w:val="62462ACD"/>
    <w:rsid w:val="624C5344"/>
    <w:rsid w:val="624D246A"/>
    <w:rsid w:val="625F338D"/>
    <w:rsid w:val="626718B3"/>
    <w:rsid w:val="62733950"/>
    <w:rsid w:val="6274543E"/>
    <w:rsid w:val="62770671"/>
    <w:rsid w:val="627A5A01"/>
    <w:rsid w:val="628024F0"/>
    <w:rsid w:val="629B2A0B"/>
    <w:rsid w:val="629E626D"/>
    <w:rsid w:val="62AF5373"/>
    <w:rsid w:val="62B25E69"/>
    <w:rsid w:val="62B46373"/>
    <w:rsid w:val="62C52AC8"/>
    <w:rsid w:val="62E023CF"/>
    <w:rsid w:val="62E84815"/>
    <w:rsid w:val="630F73B1"/>
    <w:rsid w:val="631563F9"/>
    <w:rsid w:val="63177F90"/>
    <w:rsid w:val="631933B8"/>
    <w:rsid w:val="632A62D2"/>
    <w:rsid w:val="632E1B8F"/>
    <w:rsid w:val="63307B46"/>
    <w:rsid w:val="63372CC9"/>
    <w:rsid w:val="638475C5"/>
    <w:rsid w:val="6395150F"/>
    <w:rsid w:val="63AE10EF"/>
    <w:rsid w:val="63B32188"/>
    <w:rsid w:val="63BB2DD4"/>
    <w:rsid w:val="63BD2B51"/>
    <w:rsid w:val="63C743C8"/>
    <w:rsid w:val="63CB2970"/>
    <w:rsid w:val="63CE4724"/>
    <w:rsid w:val="63CF2C26"/>
    <w:rsid w:val="63D269F7"/>
    <w:rsid w:val="63D773EF"/>
    <w:rsid w:val="63D855D8"/>
    <w:rsid w:val="63DF10EE"/>
    <w:rsid w:val="63FE161C"/>
    <w:rsid w:val="64023C4F"/>
    <w:rsid w:val="640E178E"/>
    <w:rsid w:val="6416729E"/>
    <w:rsid w:val="64193C0B"/>
    <w:rsid w:val="6430105D"/>
    <w:rsid w:val="6431537F"/>
    <w:rsid w:val="64346B2A"/>
    <w:rsid w:val="64447B84"/>
    <w:rsid w:val="64545CA8"/>
    <w:rsid w:val="64586377"/>
    <w:rsid w:val="64644915"/>
    <w:rsid w:val="64746149"/>
    <w:rsid w:val="64794F17"/>
    <w:rsid w:val="647C4C06"/>
    <w:rsid w:val="64851ECC"/>
    <w:rsid w:val="648630BA"/>
    <w:rsid w:val="6492410E"/>
    <w:rsid w:val="64932CDA"/>
    <w:rsid w:val="6499252B"/>
    <w:rsid w:val="649D7CB4"/>
    <w:rsid w:val="649F7DFD"/>
    <w:rsid w:val="64B273E2"/>
    <w:rsid w:val="64C07CE8"/>
    <w:rsid w:val="64CB1582"/>
    <w:rsid w:val="64D325CE"/>
    <w:rsid w:val="64D54A5D"/>
    <w:rsid w:val="64DD5F7C"/>
    <w:rsid w:val="64ED08FE"/>
    <w:rsid w:val="64F346E4"/>
    <w:rsid w:val="64FF4BBF"/>
    <w:rsid w:val="650523C1"/>
    <w:rsid w:val="65064CC3"/>
    <w:rsid w:val="6508653D"/>
    <w:rsid w:val="650A33BF"/>
    <w:rsid w:val="6519182C"/>
    <w:rsid w:val="651D759F"/>
    <w:rsid w:val="654A749B"/>
    <w:rsid w:val="655008E0"/>
    <w:rsid w:val="657434F6"/>
    <w:rsid w:val="65A26C8E"/>
    <w:rsid w:val="65A539C4"/>
    <w:rsid w:val="65AF48C0"/>
    <w:rsid w:val="65B052DB"/>
    <w:rsid w:val="65B66BF9"/>
    <w:rsid w:val="65C663F6"/>
    <w:rsid w:val="65D76A48"/>
    <w:rsid w:val="65DF1416"/>
    <w:rsid w:val="65E96106"/>
    <w:rsid w:val="660F2051"/>
    <w:rsid w:val="6611449A"/>
    <w:rsid w:val="66140F41"/>
    <w:rsid w:val="66350E1B"/>
    <w:rsid w:val="66355AB9"/>
    <w:rsid w:val="66467B43"/>
    <w:rsid w:val="664F35BE"/>
    <w:rsid w:val="665766AD"/>
    <w:rsid w:val="665B6F7B"/>
    <w:rsid w:val="665E207F"/>
    <w:rsid w:val="666040C7"/>
    <w:rsid w:val="6661515B"/>
    <w:rsid w:val="6663467A"/>
    <w:rsid w:val="66675F19"/>
    <w:rsid w:val="66881305"/>
    <w:rsid w:val="668F3727"/>
    <w:rsid w:val="66951F0E"/>
    <w:rsid w:val="66AF6BBC"/>
    <w:rsid w:val="66B14B77"/>
    <w:rsid w:val="66C70EA5"/>
    <w:rsid w:val="66CF7DF7"/>
    <w:rsid w:val="66E13354"/>
    <w:rsid w:val="66EB0B97"/>
    <w:rsid w:val="67047B83"/>
    <w:rsid w:val="67080885"/>
    <w:rsid w:val="670E3BDD"/>
    <w:rsid w:val="670E5B9C"/>
    <w:rsid w:val="671941EC"/>
    <w:rsid w:val="671C35B1"/>
    <w:rsid w:val="672577CE"/>
    <w:rsid w:val="67324634"/>
    <w:rsid w:val="67325049"/>
    <w:rsid w:val="67364EC0"/>
    <w:rsid w:val="674D4EEE"/>
    <w:rsid w:val="674F28AC"/>
    <w:rsid w:val="678C520B"/>
    <w:rsid w:val="67912BC1"/>
    <w:rsid w:val="67943150"/>
    <w:rsid w:val="67982ECA"/>
    <w:rsid w:val="679F7C4A"/>
    <w:rsid w:val="67A008D3"/>
    <w:rsid w:val="67A35AD4"/>
    <w:rsid w:val="67AC07E2"/>
    <w:rsid w:val="67C3205E"/>
    <w:rsid w:val="67C63B86"/>
    <w:rsid w:val="67D15AFD"/>
    <w:rsid w:val="67D66DDB"/>
    <w:rsid w:val="67D8687D"/>
    <w:rsid w:val="67E6706C"/>
    <w:rsid w:val="67F3260B"/>
    <w:rsid w:val="67F872BB"/>
    <w:rsid w:val="680255B0"/>
    <w:rsid w:val="680E43DF"/>
    <w:rsid w:val="68214E22"/>
    <w:rsid w:val="6832265F"/>
    <w:rsid w:val="68343D45"/>
    <w:rsid w:val="68374DDB"/>
    <w:rsid w:val="683D162E"/>
    <w:rsid w:val="683F618C"/>
    <w:rsid w:val="68450CB2"/>
    <w:rsid w:val="685C3BD7"/>
    <w:rsid w:val="6866421D"/>
    <w:rsid w:val="68732114"/>
    <w:rsid w:val="688205A5"/>
    <w:rsid w:val="68A04FBC"/>
    <w:rsid w:val="68A30F62"/>
    <w:rsid w:val="68AE0CB5"/>
    <w:rsid w:val="68BA5367"/>
    <w:rsid w:val="68C91634"/>
    <w:rsid w:val="68D10DF4"/>
    <w:rsid w:val="68D321C9"/>
    <w:rsid w:val="68D35623"/>
    <w:rsid w:val="68DB7EE7"/>
    <w:rsid w:val="68E86EB1"/>
    <w:rsid w:val="68EF488C"/>
    <w:rsid w:val="68F04416"/>
    <w:rsid w:val="68F81B27"/>
    <w:rsid w:val="68FD049F"/>
    <w:rsid w:val="69010CB7"/>
    <w:rsid w:val="6908487B"/>
    <w:rsid w:val="69301976"/>
    <w:rsid w:val="693514F3"/>
    <w:rsid w:val="69484003"/>
    <w:rsid w:val="694C68D0"/>
    <w:rsid w:val="69714CFA"/>
    <w:rsid w:val="697A2174"/>
    <w:rsid w:val="698F35C7"/>
    <w:rsid w:val="699343B4"/>
    <w:rsid w:val="69963B2E"/>
    <w:rsid w:val="69BC4307"/>
    <w:rsid w:val="69C132E1"/>
    <w:rsid w:val="69EA5F2B"/>
    <w:rsid w:val="69EC591E"/>
    <w:rsid w:val="69FB7188"/>
    <w:rsid w:val="6A113A8A"/>
    <w:rsid w:val="6A13708A"/>
    <w:rsid w:val="6A223786"/>
    <w:rsid w:val="6A28339D"/>
    <w:rsid w:val="6A411BAA"/>
    <w:rsid w:val="6A4E5C33"/>
    <w:rsid w:val="6A615E3B"/>
    <w:rsid w:val="6A6C12EA"/>
    <w:rsid w:val="6A6E6804"/>
    <w:rsid w:val="6A780C5F"/>
    <w:rsid w:val="6A7B443C"/>
    <w:rsid w:val="6A7F5A9F"/>
    <w:rsid w:val="6A9039F5"/>
    <w:rsid w:val="6AA2676A"/>
    <w:rsid w:val="6AA9089B"/>
    <w:rsid w:val="6ABE0E9C"/>
    <w:rsid w:val="6AC574BB"/>
    <w:rsid w:val="6AC82556"/>
    <w:rsid w:val="6B0471BF"/>
    <w:rsid w:val="6B0B4A5B"/>
    <w:rsid w:val="6B1623B8"/>
    <w:rsid w:val="6B1B189C"/>
    <w:rsid w:val="6B1D2935"/>
    <w:rsid w:val="6B2372CC"/>
    <w:rsid w:val="6B343931"/>
    <w:rsid w:val="6B384BAA"/>
    <w:rsid w:val="6B3F4F96"/>
    <w:rsid w:val="6B441D5E"/>
    <w:rsid w:val="6B505943"/>
    <w:rsid w:val="6B686882"/>
    <w:rsid w:val="6B686BEC"/>
    <w:rsid w:val="6B835DA0"/>
    <w:rsid w:val="6B8D066C"/>
    <w:rsid w:val="6B996F3F"/>
    <w:rsid w:val="6BC152AE"/>
    <w:rsid w:val="6BC96DBC"/>
    <w:rsid w:val="6BE85296"/>
    <w:rsid w:val="6BED115F"/>
    <w:rsid w:val="6BEF12A6"/>
    <w:rsid w:val="6C066924"/>
    <w:rsid w:val="6C091B55"/>
    <w:rsid w:val="6C0F24C1"/>
    <w:rsid w:val="6C1A3EB4"/>
    <w:rsid w:val="6C1C5012"/>
    <w:rsid w:val="6C2A346F"/>
    <w:rsid w:val="6C3C37F3"/>
    <w:rsid w:val="6C3D62A8"/>
    <w:rsid w:val="6C53396E"/>
    <w:rsid w:val="6C5F3847"/>
    <w:rsid w:val="6C615F4F"/>
    <w:rsid w:val="6C660EF7"/>
    <w:rsid w:val="6C692F41"/>
    <w:rsid w:val="6C70100B"/>
    <w:rsid w:val="6C8033FC"/>
    <w:rsid w:val="6C8B4DAA"/>
    <w:rsid w:val="6C96667F"/>
    <w:rsid w:val="6C9A0670"/>
    <w:rsid w:val="6C9A7B5D"/>
    <w:rsid w:val="6CB61374"/>
    <w:rsid w:val="6CBB1969"/>
    <w:rsid w:val="6CC70613"/>
    <w:rsid w:val="6CCE7000"/>
    <w:rsid w:val="6CD85D9D"/>
    <w:rsid w:val="6CE55A7C"/>
    <w:rsid w:val="6CEB40CC"/>
    <w:rsid w:val="6CEE1008"/>
    <w:rsid w:val="6CFE6ABF"/>
    <w:rsid w:val="6D0029AE"/>
    <w:rsid w:val="6D010B99"/>
    <w:rsid w:val="6D024039"/>
    <w:rsid w:val="6D062E26"/>
    <w:rsid w:val="6D0D0F15"/>
    <w:rsid w:val="6D0F08BE"/>
    <w:rsid w:val="6D1B5E7C"/>
    <w:rsid w:val="6D1E07EB"/>
    <w:rsid w:val="6D1E5672"/>
    <w:rsid w:val="6D254875"/>
    <w:rsid w:val="6D2B60DC"/>
    <w:rsid w:val="6D43077B"/>
    <w:rsid w:val="6D484064"/>
    <w:rsid w:val="6D4D6ACC"/>
    <w:rsid w:val="6D7000CC"/>
    <w:rsid w:val="6D747870"/>
    <w:rsid w:val="6D9F59A9"/>
    <w:rsid w:val="6DAC1B93"/>
    <w:rsid w:val="6DB00DD9"/>
    <w:rsid w:val="6DD2388F"/>
    <w:rsid w:val="6DD5751D"/>
    <w:rsid w:val="6DD829B0"/>
    <w:rsid w:val="6DEC4544"/>
    <w:rsid w:val="6DFA5A82"/>
    <w:rsid w:val="6E0E46D3"/>
    <w:rsid w:val="6E120764"/>
    <w:rsid w:val="6E1344E3"/>
    <w:rsid w:val="6E200506"/>
    <w:rsid w:val="6E201294"/>
    <w:rsid w:val="6E2236BC"/>
    <w:rsid w:val="6E305221"/>
    <w:rsid w:val="6E3B0A0C"/>
    <w:rsid w:val="6E3B112A"/>
    <w:rsid w:val="6E482D12"/>
    <w:rsid w:val="6E545339"/>
    <w:rsid w:val="6E595D41"/>
    <w:rsid w:val="6E602641"/>
    <w:rsid w:val="6E8074EC"/>
    <w:rsid w:val="6E9547C1"/>
    <w:rsid w:val="6E992BA6"/>
    <w:rsid w:val="6E992D7D"/>
    <w:rsid w:val="6E9E096E"/>
    <w:rsid w:val="6EAC59EC"/>
    <w:rsid w:val="6EBC1129"/>
    <w:rsid w:val="6EBD55F9"/>
    <w:rsid w:val="6EBE3256"/>
    <w:rsid w:val="6EC43A25"/>
    <w:rsid w:val="6ECB5AAB"/>
    <w:rsid w:val="6ED269AE"/>
    <w:rsid w:val="6ED94533"/>
    <w:rsid w:val="6EDB5BD9"/>
    <w:rsid w:val="6EDC682E"/>
    <w:rsid w:val="6EF44534"/>
    <w:rsid w:val="6EFB7E74"/>
    <w:rsid w:val="6F071B58"/>
    <w:rsid w:val="6F1D2561"/>
    <w:rsid w:val="6F23236E"/>
    <w:rsid w:val="6F2E2ACB"/>
    <w:rsid w:val="6F3D67E9"/>
    <w:rsid w:val="6F421F32"/>
    <w:rsid w:val="6F770B51"/>
    <w:rsid w:val="6F7922C2"/>
    <w:rsid w:val="6F814284"/>
    <w:rsid w:val="6F880FB6"/>
    <w:rsid w:val="6F8A6CB0"/>
    <w:rsid w:val="6F9235DB"/>
    <w:rsid w:val="6F9265FD"/>
    <w:rsid w:val="6FA00F2F"/>
    <w:rsid w:val="6FA07637"/>
    <w:rsid w:val="6FAF3CD5"/>
    <w:rsid w:val="6FB237F7"/>
    <w:rsid w:val="6FB73A36"/>
    <w:rsid w:val="6FC241D1"/>
    <w:rsid w:val="6FE46ECD"/>
    <w:rsid w:val="6FE7279D"/>
    <w:rsid w:val="6FFE2187"/>
    <w:rsid w:val="70001B04"/>
    <w:rsid w:val="70024A79"/>
    <w:rsid w:val="700A575C"/>
    <w:rsid w:val="70121E3C"/>
    <w:rsid w:val="701663A1"/>
    <w:rsid w:val="701718BD"/>
    <w:rsid w:val="70324ABA"/>
    <w:rsid w:val="703E0812"/>
    <w:rsid w:val="704D791B"/>
    <w:rsid w:val="70686AED"/>
    <w:rsid w:val="708446CE"/>
    <w:rsid w:val="7087205B"/>
    <w:rsid w:val="70951805"/>
    <w:rsid w:val="70AA20C5"/>
    <w:rsid w:val="70B50D67"/>
    <w:rsid w:val="70C52DE5"/>
    <w:rsid w:val="70D90377"/>
    <w:rsid w:val="70D94041"/>
    <w:rsid w:val="70E05E43"/>
    <w:rsid w:val="70EC08BB"/>
    <w:rsid w:val="70F17091"/>
    <w:rsid w:val="70F50105"/>
    <w:rsid w:val="70F51286"/>
    <w:rsid w:val="70F8406F"/>
    <w:rsid w:val="70FF18C0"/>
    <w:rsid w:val="71013F87"/>
    <w:rsid w:val="711A2B75"/>
    <w:rsid w:val="711F0A06"/>
    <w:rsid w:val="712310E0"/>
    <w:rsid w:val="71334D77"/>
    <w:rsid w:val="713C2E31"/>
    <w:rsid w:val="7142160F"/>
    <w:rsid w:val="714F0A5F"/>
    <w:rsid w:val="716C6C95"/>
    <w:rsid w:val="717F38B6"/>
    <w:rsid w:val="7187659B"/>
    <w:rsid w:val="719B4081"/>
    <w:rsid w:val="71AB0874"/>
    <w:rsid w:val="71B23A13"/>
    <w:rsid w:val="71B4232C"/>
    <w:rsid w:val="71B5027B"/>
    <w:rsid w:val="71C12342"/>
    <w:rsid w:val="71C96C50"/>
    <w:rsid w:val="71D54A1D"/>
    <w:rsid w:val="71DB4EB1"/>
    <w:rsid w:val="71E14906"/>
    <w:rsid w:val="71E97FB4"/>
    <w:rsid w:val="720151EF"/>
    <w:rsid w:val="72123518"/>
    <w:rsid w:val="72150DD8"/>
    <w:rsid w:val="7227271C"/>
    <w:rsid w:val="722B40C2"/>
    <w:rsid w:val="722D52AE"/>
    <w:rsid w:val="7231294D"/>
    <w:rsid w:val="72344BAB"/>
    <w:rsid w:val="7245636E"/>
    <w:rsid w:val="72482E2A"/>
    <w:rsid w:val="724C3EA8"/>
    <w:rsid w:val="724D0765"/>
    <w:rsid w:val="725236A5"/>
    <w:rsid w:val="72616C8F"/>
    <w:rsid w:val="726329AD"/>
    <w:rsid w:val="72700442"/>
    <w:rsid w:val="72742183"/>
    <w:rsid w:val="728C1AD7"/>
    <w:rsid w:val="72956C13"/>
    <w:rsid w:val="729C03B5"/>
    <w:rsid w:val="72B11439"/>
    <w:rsid w:val="72B550F5"/>
    <w:rsid w:val="72B907B1"/>
    <w:rsid w:val="72C65825"/>
    <w:rsid w:val="72CE2BFA"/>
    <w:rsid w:val="72D5110B"/>
    <w:rsid w:val="72DF12DC"/>
    <w:rsid w:val="73032FDA"/>
    <w:rsid w:val="730F4A30"/>
    <w:rsid w:val="732A2937"/>
    <w:rsid w:val="732F637F"/>
    <w:rsid w:val="7331290A"/>
    <w:rsid w:val="7334187D"/>
    <w:rsid w:val="734D7194"/>
    <w:rsid w:val="734F38A8"/>
    <w:rsid w:val="735B5827"/>
    <w:rsid w:val="736148F4"/>
    <w:rsid w:val="73646474"/>
    <w:rsid w:val="73764FEE"/>
    <w:rsid w:val="73882410"/>
    <w:rsid w:val="738B7504"/>
    <w:rsid w:val="73940954"/>
    <w:rsid w:val="73A546E5"/>
    <w:rsid w:val="73B57CCC"/>
    <w:rsid w:val="73C11EAF"/>
    <w:rsid w:val="73C51D2F"/>
    <w:rsid w:val="73DD14E4"/>
    <w:rsid w:val="73EA74A0"/>
    <w:rsid w:val="73F46367"/>
    <w:rsid w:val="73FC730A"/>
    <w:rsid w:val="740A023F"/>
    <w:rsid w:val="74190521"/>
    <w:rsid w:val="744D494C"/>
    <w:rsid w:val="74584E2F"/>
    <w:rsid w:val="746A5DC5"/>
    <w:rsid w:val="74775E13"/>
    <w:rsid w:val="747A0F10"/>
    <w:rsid w:val="74960552"/>
    <w:rsid w:val="74A025BB"/>
    <w:rsid w:val="74A26D06"/>
    <w:rsid w:val="74AB6CAF"/>
    <w:rsid w:val="74B5290E"/>
    <w:rsid w:val="74B57201"/>
    <w:rsid w:val="74B63931"/>
    <w:rsid w:val="74B772FC"/>
    <w:rsid w:val="74C802CC"/>
    <w:rsid w:val="74DE5D80"/>
    <w:rsid w:val="74E339DF"/>
    <w:rsid w:val="74EC1BFC"/>
    <w:rsid w:val="74EE27A0"/>
    <w:rsid w:val="74EF3470"/>
    <w:rsid w:val="74FE1E13"/>
    <w:rsid w:val="75096A51"/>
    <w:rsid w:val="751D7E0A"/>
    <w:rsid w:val="7529246E"/>
    <w:rsid w:val="752B68EF"/>
    <w:rsid w:val="753D40B2"/>
    <w:rsid w:val="756818E7"/>
    <w:rsid w:val="75693296"/>
    <w:rsid w:val="75716513"/>
    <w:rsid w:val="757C11D5"/>
    <w:rsid w:val="758B0D89"/>
    <w:rsid w:val="758D5F39"/>
    <w:rsid w:val="75914853"/>
    <w:rsid w:val="75A810F7"/>
    <w:rsid w:val="75AA37ED"/>
    <w:rsid w:val="75B06FC8"/>
    <w:rsid w:val="75B8695C"/>
    <w:rsid w:val="75E95239"/>
    <w:rsid w:val="75F37A52"/>
    <w:rsid w:val="75F44272"/>
    <w:rsid w:val="75F70DE4"/>
    <w:rsid w:val="761A24BA"/>
    <w:rsid w:val="761C07EA"/>
    <w:rsid w:val="761D7A61"/>
    <w:rsid w:val="76353DE0"/>
    <w:rsid w:val="763D09EB"/>
    <w:rsid w:val="7640533B"/>
    <w:rsid w:val="766841B4"/>
    <w:rsid w:val="76735CC5"/>
    <w:rsid w:val="76742545"/>
    <w:rsid w:val="768716DB"/>
    <w:rsid w:val="768C66E7"/>
    <w:rsid w:val="76AD56EE"/>
    <w:rsid w:val="76B62448"/>
    <w:rsid w:val="76C65355"/>
    <w:rsid w:val="76CD33E6"/>
    <w:rsid w:val="76D34FAD"/>
    <w:rsid w:val="76D6143C"/>
    <w:rsid w:val="76F219C3"/>
    <w:rsid w:val="77057741"/>
    <w:rsid w:val="770B7029"/>
    <w:rsid w:val="771649D3"/>
    <w:rsid w:val="772E78DB"/>
    <w:rsid w:val="77375DEE"/>
    <w:rsid w:val="775B1FE3"/>
    <w:rsid w:val="776A3187"/>
    <w:rsid w:val="77741649"/>
    <w:rsid w:val="77794CCA"/>
    <w:rsid w:val="77874704"/>
    <w:rsid w:val="779B06B2"/>
    <w:rsid w:val="77A62E69"/>
    <w:rsid w:val="77A92580"/>
    <w:rsid w:val="77C752AC"/>
    <w:rsid w:val="77CA2B38"/>
    <w:rsid w:val="77D03FD4"/>
    <w:rsid w:val="77D51FFD"/>
    <w:rsid w:val="77D62053"/>
    <w:rsid w:val="77E01B03"/>
    <w:rsid w:val="77E240FA"/>
    <w:rsid w:val="77E81CFD"/>
    <w:rsid w:val="77E84E2E"/>
    <w:rsid w:val="77F03575"/>
    <w:rsid w:val="780E722D"/>
    <w:rsid w:val="782371EA"/>
    <w:rsid w:val="782C49AA"/>
    <w:rsid w:val="78335FDE"/>
    <w:rsid w:val="783B674D"/>
    <w:rsid w:val="783D6820"/>
    <w:rsid w:val="78684F1D"/>
    <w:rsid w:val="786C48E4"/>
    <w:rsid w:val="788D35C9"/>
    <w:rsid w:val="78941708"/>
    <w:rsid w:val="789A0E49"/>
    <w:rsid w:val="78A17F18"/>
    <w:rsid w:val="78B34405"/>
    <w:rsid w:val="78BC1B9E"/>
    <w:rsid w:val="78C335B8"/>
    <w:rsid w:val="78C45883"/>
    <w:rsid w:val="78C514D9"/>
    <w:rsid w:val="78C536AE"/>
    <w:rsid w:val="78CE186C"/>
    <w:rsid w:val="78DA2752"/>
    <w:rsid w:val="78DB5F47"/>
    <w:rsid w:val="78DF4B47"/>
    <w:rsid w:val="78F952F2"/>
    <w:rsid w:val="78FA5557"/>
    <w:rsid w:val="78FA55CE"/>
    <w:rsid w:val="791761DD"/>
    <w:rsid w:val="791B0425"/>
    <w:rsid w:val="791C31BE"/>
    <w:rsid w:val="792F1E59"/>
    <w:rsid w:val="793A4440"/>
    <w:rsid w:val="79420102"/>
    <w:rsid w:val="79450EA0"/>
    <w:rsid w:val="79455D4E"/>
    <w:rsid w:val="79594B77"/>
    <w:rsid w:val="797522E8"/>
    <w:rsid w:val="79813C6C"/>
    <w:rsid w:val="798E3B5A"/>
    <w:rsid w:val="7999136D"/>
    <w:rsid w:val="79A31579"/>
    <w:rsid w:val="79A971E8"/>
    <w:rsid w:val="79AD5B0B"/>
    <w:rsid w:val="79C32270"/>
    <w:rsid w:val="79C37B96"/>
    <w:rsid w:val="79CB4EB4"/>
    <w:rsid w:val="79CD2766"/>
    <w:rsid w:val="79DD50E3"/>
    <w:rsid w:val="79ED406D"/>
    <w:rsid w:val="79EF4E7B"/>
    <w:rsid w:val="79F77A18"/>
    <w:rsid w:val="79FC04D5"/>
    <w:rsid w:val="7A001CE1"/>
    <w:rsid w:val="7A055AD6"/>
    <w:rsid w:val="7A0A083D"/>
    <w:rsid w:val="7A0B2CE3"/>
    <w:rsid w:val="7A0B5793"/>
    <w:rsid w:val="7A0F561F"/>
    <w:rsid w:val="7A2B1BAD"/>
    <w:rsid w:val="7A2E4878"/>
    <w:rsid w:val="7A352610"/>
    <w:rsid w:val="7A425A34"/>
    <w:rsid w:val="7A436550"/>
    <w:rsid w:val="7A486422"/>
    <w:rsid w:val="7A552D1E"/>
    <w:rsid w:val="7A6E1957"/>
    <w:rsid w:val="7A6F67C1"/>
    <w:rsid w:val="7A7A1189"/>
    <w:rsid w:val="7A822DC9"/>
    <w:rsid w:val="7A8B19B0"/>
    <w:rsid w:val="7A8F521E"/>
    <w:rsid w:val="7A9640DB"/>
    <w:rsid w:val="7A984B1D"/>
    <w:rsid w:val="7A9A0115"/>
    <w:rsid w:val="7A9E18A2"/>
    <w:rsid w:val="7AA30701"/>
    <w:rsid w:val="7AA442E6"/>
    <w:rsid w:val="7AAA37FE"/>
    <w:rsid w:val="7AB50187"/>
    <w:rsid w:val="7ABA686C"/>
    <w:rsid w:val="7ACC0D59"/>
    <w:rsid w:val="7AEB2A50"/>
    <w:rsid w:val="7AF414C4"/>
    <w:rsid w:val="7AF818E9"/>
    <w:rsid w:val="7AFF7AFC"/>
    <w:rsid w:val="7B156BFC"/>
    <w:rsid w:val="7B1A73E0"/>
    <w:rsid w:val="7B215320"/>
    <w:rsid w:val="7B2D6773"/>
    <w:rsid w:val="7B30551A"/>
    <w:rsid w:val="7B346DA3"/>
    <w:rsid w:val="7B361732"/>
    <w:rsid w:val="7B45619B"/>
    <w:rsid w:val="7B467781"/>
    <w:rsid w:val="7B4C2E24"/>
    <w:rsid w:val="7B4F5010"/>
    <w:rsid w:val="7B590372"/>
    <w:rsid w:val="7B700A19"/>
    <w:rsid w:val="7B740D85"/>
    <w:rsid w:val="7B9B5768"/>
    <w:rsid w:val="7BB94248"/>
    <w:rsid w:val="7BC2281A"/>
    <w:rsid w:val="7BC67FD0"/>
    <w:rsid w:val="7BCD4C6B"/>
    <w:rsid w:val="7BE55013"/>
    <w:rsid w:val="7BE96D7D"/>
    <w:rsid w:val="7BEC3393"/>
    <w:rsid w:val="7BF9565E"/>
    <w:rsid w:val="7C06180D"/>
    <w:rsid w:val="7C09548E"/>
    <w:rsid w:val="7C0A64C1"/>
    <w:rsid w:val="7C131EF6"/>
    <w:rsid w:val="7C1473F2"/>
    <w:rsid w:val="7C1D43C0"/>
    <w:rsid w:val="7C226248"/>
    <w:rsid w:val="7C25639C"/>
    <w:rsid w:val="7C271A50"/>
    <w:rsid w:val="7C2C78E4"/>
    <w:rsid w:val="7C4731F7"/>
    <w:rsid w:val="7C51078E"/>
    <w:rsid w:val="7C571284"/>
    <w:rsid w:val="7C6D3C5D"/>
    <w:rsid w:val="7C721E2A"/>
    <w:rsid w:val="7C770EB8"/>
    <w:rsid w:val="7C813E65"/>
    <w:rsid w:val="7C8B1320"/>
    <w:rsid w:val="7C8B5D0B"/>
    <w:rsid w:val="7C911320"/>
    <w:rsid w:val="7C975BAE"/>
    <w:rsid w:val="7CA14490"/>
    <w:rsid w:val="7CA31B07"/>
    <w:rsid w:val="7CB57011"/>
    <w:rsid w:val="7CB82161"/>
    <w:rsid w:val="7CB940FB"/>
    <w:rsid w:val="7CBC26A8"/>
    <w:rsid w:val="7CC72B4B"/>
    <w:rsid w:val="7CD10993"/>
    <w:rsid w:val="7CD20869"/>
    <w:rsid w:val="7CDD1A6F"/>
    <w:rsid w:val="7CEB6DA5"/>
    <w:rsid w:val="7CF043EA"/>
    <w:rsid w:val="7CFE0941"/>
    <w:rsid w:val="7D0614A7"/>
    <w:rsid w:val="7D0F012D"/>
    <w:rsid w:val="7D1105A4"/>
    <w:rsid w:val="7D187A23"/>
    <w:rsid w:val="7D3268D5"/>
    <w:rsid w:val="7D4D04BA"/>
    <w:rsid w:val="7D4E7E6A"/>
    <w:rsid w:val="7D4F211A"/>
    <w:rsid w:val="7D52705D"/>
    <w:rsid w:val="7D5E05DC"/>
    <w:rsid w:val="7D762C1C"/>
    <w:rsid w:val="7D83707D"/>
    <w:rsid w:val="7D8C6207"/>
    <w:rsid w:val="7D951393"/>
    <w:rsid w:val="7D952DD6"/>
    <w:rsid w:val="7DA96E8E"/>
    <w:rsid w:val="7DB708FE"/>
    <w:rsid w:val="7DBC1E48"/>
    <w:rsid w:val="7DBF0011"/>
    <w:rsid w:val="7DBF2862"/>
    <w:rsid w:val="7DCC72ED"/>
    <w:rsid w:val="7DD014FE"/>
    <w:rsid w:val="7DD731E4"/>
    <w:rsid w:val="7DE37813"/>
    <w:rsid w:val="7DEA5AA0"/>
    <w:rsid w:val="7DF76535"/>
    <w:rsid w:val="7DFB7BA3"/>
    <w:rsid w:val="7E010876"/>
    <w:rsid w:val="7E093C22"/>
    <w:rsid w:val="7E2B0761"/>
    <w:rsid w:val="7E3005AD"/>
    <w:rsid w:val="7E312DE1"/>
    <w:rsid w:val="7E37322F"/>
    <w:rsid w:val="7E5908B8"/>
    <w:rsid w:val="7E7774A1"/>
    <w:rsid w:val="7E7A629A"/>
    <w:rsid w:val="7E863494"/>
    <w:rsid w:val="7EB83827"/>
    <w:rsid w:val="7EBB072D"/>
    <w:rsid w:val="7EC85E4C"/>
    <w:rsid w:val="7ED17C3A"/>
    <w:rsid w:val="7EDD3223"/>
    <w:rsid w:val="7EE519FD"/>
    <w:rsid w:val="7EF614FC"/>
    <w:rsid w:val="7EFB5DBD"/>
    <w:rsid w:val="7F1848FF"/>
    <w:rsid w:val="7F1B5E42"/>
    <w:rsid w:val="7F2C5C3B"/>
    <w:rsid w:val="7F4105D0"/>
    <w:rsid w:val="7F495959"/>
    <w:rsid w:val="7F4A3D91"/>
    <w:rsid w:val="7F4C1166"/>
    <w:rsid w:val="7F50405B"/>
    <w:rsid w:val="7F5211EF"/>
    <w:rsid w:val="7F596DD9"/>
    <w:rsid w:val="7F6B5370"/>
    <w:rsid w:val="7F892095"/>
    <w:rsid w:val="7F991725"/>
    <w:rsid w:val="7F9E3C00"/>
    <w:rsid w:val="7FAA0D73"/>
    <w:rsid w:val="7FAC2893"/>
    <w:rsid w:val="7FAF1F33"/>
    <w:rsid w:val="7FC26707"/>
    <w:rsid w:val="7FC857D3"/>
    <w:rsid w:val="7FC962C4"/>
    <w:rsid w:val="7FD24B46"/>
    <w:rsid w:val="7FDA0FE1"/>
    <w:rsid w:val="7FE70627"/>
    <w:rsid w:val="7FEA3894"/>
    <w:rsid w:val="7FEF774C"/>
    <w:rsid w:val="7FF12A77"/>
    <w:rsid w:val="7FF858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6"/>
        <o:r id="V:Rule2" type="connector" idref="#_x0000_s2061">
          <o:proxy start="" idref="#_x0000_s2055" connectloc="3"/>
        </o:r>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qFormat="1" w:uiPriority="99"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44"/>
      <w:sz w:val="48"/>
      <w:szCs w:val="48"/>
      <w:lang w:val="en-US" w:eastAsia="zh-CN" w:bidi="ar"/>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sz w:val="32"/>
      <w:szCs w:val="32"/>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
    <w:name w:val="纯文本1"/>
    <w:basedOn w:val="1"/>
    <w:qFormat/>
    <w:uiPriority w:val="99"/>
    <w:pPr>
      <w:autoSpaceDE w:val="0"/>
      <w:autoSpaceDN w:val="0"/>
      <w:adjustRightInd w:val="0"/>
      <w:textAlignment w:val="baseline"/>
    </w:pPr>
    <w:rPr>
      <w:rFonts w:ascii="宋体"/>
      <w:szCs w:val="20"/>
    </w:rPr>
  </w:style>
  <w:style w:type="paragraph" w:styleId="7">
    <w:name w:val="Normal Indent"/>
    <w:basedOn w:val="1"/>
    <w:next w:val="8"/>
    <w:qFormat/>
    <w:uiPriority w:val="0"/>
    <w:pPr>
      <w:adjustRightInd w:val="0"/>
      <w:spacing w:line="480" w:lineRule="atLeast"/>
      <w:ind w:firstLine="595"/>
      <w:textAlignment w:val="baseline"/>
    </w:pPr>
    <w:rPr>
      <w:kern w:val="0"/>
      <w:sz w:val="28"/>
      <w:szCs w:val="20"/>
    </w:rPr>
  </w:style>
  <w:style w:type="paragraph" w:styleId="8">
    <w:name w:val="toc 1"/>
    <w:basedOn w:val="1"/>
    <w:next w:val="1"/>
    <w:qFormat/>
    <w:uiPriority w:val="39"/>
    <w:pPr>
      <w:widowControl w:val="0"/>
      <w:spacing w:before="120" w:after="120"/>
    </w:pPr>
    <w:rPr>
      <w:rFonts w:ascii="Times New Roman" w:hAnsi="Times New Roman" w:eastAsia="黑体" w:cs="Times New Roman"/>
      <w:bCs/>
      <w:caps/>
      <w:kern w:val="2"/>
      <w:sz w:val="25"/>
      <w:szCs w:val="20"/>
    </w:rPr>
  </w:style>
  <w:style w:type="paragraph" w:styleId="9">
    <w:name w:val="Document Map"/>
    <w:basedOn w:val="1"/>
    <w:link w:val="54"/>
    <w:qFormat/>
    <w:uiPriority w:val="0"/>
    <w:rPr>
      <w:rFonts w:ascii="宋体"/>
      <w:sz w:val="18"/>
      <w:szCs w:val="18"/>
    </w:rPr>
  </w:style>
  <w:style w:type="paragraph" w:styleId="10">
    <w:name w:val="annotation text"/>
    <w:basedOn w:val="1"/>
    <w:link w:val="56"/>
    <w:qFormat/>
    <w:uiPriority w:val="0"/>
    <w:pPr>
      <w:jc w:val="left"/>
    </w:pPr>
  </w:style>
  <w:style w:type="paragraph" w:styleId="11">
    <w:name w:val="Body Text"/>
    <w:basedOn w:val="1"/>
    <w:next w:val="12"/>
    <w:qFormat/>
    <w:uiPriority w:val="0"/>
    <w:rPr>
      <w:sz w:val="28"/>
      <w:szCs w:val="20"/>
    </w:rPr>
  </w:style>
  <w:style w:type="paragraph" w:customStyle="1" w:styleId="12">
    <w:name w:val="style4"/>
    <w:basedOn w:val="1"/>
    <w:next w:val="13"/>
    <w:qFormat/>
    <w:uiPriority w:val="0"/>
    <w:pPr>
      <w:widowControl/>
      <w:spacing w:before="280" w:after="280"/>
    </w:pPr>
    <w:rPr>
      <w:rFonts w:ascii="宋体"/>
      <w:sz w:val="18"/>
    </w:rPr>
  </w:style>
  <w:style w:type="paragraph" w:customStyle="1" w:styleId="13">
    <w:name w:val="2"/>
    <w:basedOn w:val="14"/>
    <w:next w:val="1"/>
    <w:qFormat/>
    <w:uiPriority w:val="0"/>
    <w:pPr>
      <w:ind w:firstLine="0" w:firstLineChars="0"/>
    </w:pPr>
  </w:style>
  <w:style w:type="paragraph" w:customStyle="1" w:styleId="14">
    <w:name w:val="1"/>
    <w:basedOn w:val="1"/>
    <w:next w:val="15"/>
    <w:qFormat/>
    <w:uiPriority w:val="0"/>
    <w:pPr>
      <w:ind w:firstLine="576" w:firstLineChars="192"/>
    </w:pPr>
    <w:rPr>
      <w:rFonts w:ascii="黑体" w:eastAsia="黑体"/>
      <w:sz w:val="30"/>
    </w:rPr>
  </w:style>
  <w:style w:type="paragraph" w:styleId="15">
    <w:name w:val="Plain Text"/>
    <w:basedOn w:val="1"/>
    <w:next w:val="16"/>
    <w:link w:val="60"/>
    <w:qFormat/>
    <w:uiPriority w:val="0"/>
    <w:rPr>
      <w:rFonts w:ascii="宋体" w:hAnsi="Courier New" w:cs="Courier New"/>
      <w:szCs w:val="21"/>
    </w:rPr>
  </w:style>
  <w:style w:type="paragraph" w:styleId="16">
    <w:name w:val="List Continue 5"/>
    <w:basedOn w:val="1"/>
    <w:unhideWhenUsed/>
    <w:qFormat/>
    <w:uiPriority w:val="99"/>
    <w:pPr>
      <w:spacing w:after="120" w:afterLines="0"/>
      <w:ind w:left="2100" w:leftChars="1000"/>
    </w:pPr>
  </w:style>
  <w:style w:type="paragraph" w:styleId="17">
    <w:name w:val="Body Text Indent"/>
    <w:basedOn w:val="1"/>
    <w:next w:val="18"/>
    <w:qFormat/>
    <w:uiPriority w:val="0"/>
    <w:pPr>
      <w:ind w:firstLine="480" w:firstLineChars="200"/>
    </w:pPr>
    <w:rPr>
      <w:sz w:val="24"/>
    </w:rPr>
  </w:style>
  <w:style w:type="paragraph" w:styleId="18">
    <w:name w:val="header"/>
    <w:basedOn w:val="1"/>
    <w:next w:val="19"/>
    <w:qFormat/>
    <w:uiPriority w:val="0"/>
    <w:pPr>
      <w:pBdr>
        <w:bottom w:val="single" w:color="auto" w:sz="6" w:space="1"/>
      </w:pBdr>
      <w:tabs>
        <w:tab w:val="center" w:pos="4153"/>
        <w:tab w:val="right" w:pos="8306"/>
      </w:tabs>
      <w:snapToGrid w:val="0"/>
      <w:jc w:val="center"/>
    </w:pPr>
    <w:rPr>
      <w:sz w:val="18"/>
      <w:szCs w:val="18"/>
    </w:rPr>
  </w:style>
  <w:style w:type="paragraph" w:customStyle="1" w:styleId="19">
    <w:name w:val="样式5"/>
    <w:basedOn w:val="20"/>
    <w:next w:val="21"/>
    <w:qFormat/>
    <w:uiPriority w:val="0"/>
    <w:pPr>
      <w:widowControl/>
      <w:spacing w:line="480" w:lineRule="atLeast"/>
      <w:ind w:firstLine="454"/>
    </w:pPr>
    <w:rPr>
      <w:kern w:val="0"/>
      <w:sz w:val="24"/>
      <w:szCs w:val="20"/>
    </w:rPr>
  </w:style>
  <w:style w:type="paragraph" w:customStyle="1" w:styleId="20">
    <w:name w:val="正文1"/>
    <w:basedOn w:val="1"/>
    <w:next w:val="1"/>
    <w:link w:val="61"/>
    <w:qFormat/>
    <w:uiPriority w:val="0"/>
    <w:pPr>
      <w:adjustRightInd w:val="0"/>
      <w:snapToGrid w:val="0"/>
      <w:spacing w:line="500" w:lineRule="atLeast"/>
      <w:ind w:firstLine="567"/>
    </w:pPr>
    <w:rPr>
      <w:sz w:val="28"/>
    </w:rPr>
  </w:style>
  <w:style w:type="paragraph" w:styleId="21">
    <w:name w:val="endnote text"/>
    <w:basedOn w:val="1"/>
    <w:unhideWhenUsed/>
    <w:qFormat/>
    <w:uiPriority w:val="0"/>
    <w:pPr>
      <w:snapToGrid w:val="0"/>
      <w:jc w:val="left"/>
    </w:pPr>
    <w:rPr>
      <w:rFonts w:ascii="Calibri" w:hAnsi="Calibri"/>
      <w:sz w:val="24"/>
      <w:szCs w:val="22"/>
    </w:rPr>
  </w:style>
  <w:style w:type="paragraph" w:styleId="22">
    <w:name w:val="Block Text"/>
    <w:basedOn w:val="1"/>
    <w:next w:val="1"/>
    <w:qFormat/>
    <w:uiPriority w:val="0"/>
    <w:pPr>
      <w:ind w:left="113" w:right="113" w:firstLine="555"/>
      <w:jc w:val="left"/>
    </w:pPr>
    <w:rPr>
      <w:sz w:val="28"/>
    </w:rPr>
  </w:style>
  <w:style w:type="paragraph" w:styleId="23">
    <w:name w:val="List Bullet 5"/>
    <w:basedOn w:val="1"/>
    <w:qFormat/>
    <w:uiPriority w:val="0"/>
    <w:pPr>
      <w:numPr>
        <w:ilvl w:val="0"/>
        <w:numId w:val="1"/>
      </w:numPr>
    </w:pPr>
  </w:style>
  <w:style w:type="paragraph" w:styleId="24">
    <w:name w:val="Balloon Text"/>
    <w:basedOn w:val="1"/>
    <w:link w:val="55"/>
    <w:qFormat/>
    <w:uiPriority w:val="0"/>
    <w:rPr>
      <w:sz w:val="18"/>
      <w:szCs w:val="18"/>
    </w:rPr>
  </w:style>
  <w:style w:type="paragraph" w:styleId="25">
    <w:name w:val="footer"/>
    <w:basedOn w:val="1"/>
    <w:qFormat/>
    <w:uiPriority w:val="0"/>
    <w:pPr>
      <w:tabs>
        <w:tab w:val="center" w:pos="4153"/>
        <w:tab w:val="right" w:pos="8306"/>
      </w:tabs>
      <w:snapToGrid w:val="0"/>
      <w:jc w:val="left"/>
    </w:pPr>
    <w:rPr>
      <w:sz w:val="18"/>
      <w:szCs w:val="18"/>
    </w:rPr>
  </w:style>
  <w:style w:type="paragraph" w:styleId="26">
    <w:name w:val="table of figures"/>
    <w:basedOn w:val="1"/>
    <w:next w:val="1"/>
    <w:qFormat/>
    <w:uiPriority w:val="0"/>
    <w:pPr>
      <w:keepNext w:val="0"/>
      <w:keepLines w:val="0"/>
      <w:widowControl w:val="0"/>
      <w:suppressLineNumbers w:val="0"/>
      <w:spacing w:before="0" w:beforeAutospacing="0" w:after="0" w:afterAutospacing="0"/>
      <w:ind w:left="200" w:leftChars="200" w:right="0" w:hanging="200" w:hangingChars="200"/>
      <w:jc w:val="both"/>
    </w:pPr>
    <w:rPr>
      <w:rFonts w:hint="default" w:ascii="Times New Roman" w:hAnsi="Times New Roman" w:eastAsia="宋体" w:cs="Times New Roman"/>
      <w:kern w:val="2"/>
      <w:sz w:val="21"/>
      <w:szCs w:val="21"/>
      <w:lang w:val="en-US" w:eastAsia="zh-CN" w:bidi="ar"/>
    </w:rPr>
  </w:style>
  <w:style w:type="paragraph" w:styleId="2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8">
    <w:name w:val="annotation subject"/>
    <w:basedOn w:val="10"/>
    <w:next w:val="10"/>
    <w:link w:val="57"/>
    <w:qFormat/>
    <w:uiPriority w:val="0"/>
    <w:rPr>
      <w:b/>
      <w:bCs/>
    </w:rPr>
  </w:style>
  <w:style w:type="paragraph" w:styleId="29">
    <w:name w:val="Body Text First Indent"/>
    <w:basedOn w:val="11"/>
    <w:next w:val="1"/>
    <w:qFormat/>
    <w:uiPriority w:val="0"/>
    <w:pPr>
      <w:ind w:firstLine="420" w:firstLineChars="100"/>
    </w:pPr>
    <w:rPr>
      <w:szCs w:val="24"/>
    </w:rPr>
  </w:style>
  <w:style w:type="paragraph" w:styleId="30">
    <w:name w:val="Body Text First Indent 2"/>
    <w:basedOn w:val="17"/>
    <w:next w:val="1"/>
    <w:qFormat/>
    <w:uiPriority w:val="0"/>
    <w:pPr>
      <w:spacing w:after="120"/>
      <w:ind w:left="420" w:leftChars="200" w:firstLine="420"/>
    </w:pPr>
    <w:rPr>
      <w:sz w:val="21"/>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0"/>
    <w:rPr>
      <w:b/>
    </w:rPr>
  </w:style>
  <w:style w:type="character" w:styleId="35">
    <w:name w:val="FollowedHyperlink"/>
    <w:basedOn w:val="33"/>
    <w:qFormat/>
    <w:uiPriority w:val="0"/>
    <w:rPr>
      <w:color w:val="000000"/>
      <w:u w:val="none"/>
    </w:rPr>
  </w:style>
  <w:style w:type="character" w:styleId="36">
    <w:name w:val="Emphasis"/>
    <w:basedOn w:val="33"/>
    <w:qFormat/>
    <w:uiPriority w:val="0"/>
  </w:style>
  <w:style w:type="character" w:styleId="37">
    <w:name w:val="Hyperlink"/>
    <w:basedOn w:val="33"/>
    <w:qFormat/>
    <w:uiPriority w:val="0"/>
    <w:rPr>
      <w:color w:val="000000"/>
      <w:u w:val="none"/>
    </w:rPr>
  </w:style>
  <w:style w:type="character" w:styleId="38">
    <w:name w:val="annotation reference"/>
    <w:basedOn w:val="33"/>
    <w:semiHidden/>
    <w:qFormat/>
    <w:uiPriority w:val="0"/>
    <w:rPr>
      <w:sz w:val="21"/>
      <w:szCs w:val="21"/>
    </w:rPr>
  </w:style>
  <w:style w:type="paragraph" w:customStyle="1" w:styleId="39">
    <w:name w:val="样式 正文文本 + 首行缩进:  2 字符"/>
    <w:basedOn w:val="11"/>
    <w:qFormat/>
    <w:uiPriority w:val="99"/>
    <w:pPr>
      <w:spacing w:after="200" w:line="480" w:lineRule="exact"/>
      <w:ind w:firstLine="480" w:firstLineChars="200"/>
    </w:pPr>
    <w:rPr>
      <w:rFonts w:ascii="宋体" w:hAnsi="宋体" w:eastAsia="宋体" w:cs="Times New Roman"/>
      <w:sz w:val="24"/>
      <w:lang w:val="en-US" w:eastAsia="zh-CN" w:bidi="ar-SA"/>
    </w:rPr>
  </w:style>
  <w:style w:type="paragraph" w:customStyle="1" w:styleId="40">
    <w:name w:val="样式 样式 样式 四号 左侧:  1.53 厘米 + 首行缩进:  2 字符 + 居中 左侧:  2 字符 首行缩进:  2..."/>
    <w:basedOn w:val="41"/>
    <w:qFormat/>
    <w:uiPriority w:val="0"/>
    <w:pPr>
      <w:ind w:firstLine="0" w:firstLineChars="0"/>
      <w:jc w:val="center"/>
    </w:pPr>
  </w:style>
  <w:style w:type="paragraph" w:customStyle="1" w:styleId="41">
    <w:name w:val="样式 样式 四号 左侧:  1.53 厘米 + 首行缩进:  2 字符"/>
    <w:basedOn w:val="42"/>
    <w:qFormat/>
    <w:uiPriority w:val="0"/>
    <w:pPr>
      <w:ind w:left="200" w:leftChars="200"/>
    </w:pPr>
    <w:rPr>
      <w:szCs w:val="20"/>
    </w:rPr>
  </w:style>
  <w:style w:type="paragraph" w:customStyle="1" w:styleId="42">
    <w:name w:val="样式 四号 左侧:  1.53 厘米"/>
    <w:basedOn w:val="1"/>
    <w:qFormat/>
    <w:uiPriority w:val="0"/>
    <w:pPr>
      <w:adjustRightInd w:val="0"/>
    </w:pPr>
    <w:rPr>
      <w:w w:val="90"/>
      <w:sz w:val="28"/>
      <w:szCs w:val="28"/>
    </w:rPr>
  </w:style>
  <w:style w:type="paragraph" w:customStyle="1" w:styleId="43">
    <w:name w:val="样式7"/>
    <w:basedOn w:val="1"/>
    <w:qFormat/>
    <w:uiPriority w:val="0"/>
  </w:style>
  <w:style w:type="paragraph" w:customStyle="1" w:styleId="44">
    <w:name w:val="正文正"/>
    <w:basedOn w:val="1"/>
    <w:qFormat/>
    <w:uiPriority w:val="0"/>
    <w:pPr>
      <w:ind w:firstLine="560" w:firstLineChars="200"/>
    </w:pPr>
    <w:rPr>
      <w:sz w:val="28"/>
    </w:rPr>
  </w:style>
  <w:style w:type="paragraph" w:customStyle="1" w:styleId="45">
    <w:name w:val="正文文本 21"/>
    <w:basedOn w:val="1"/>
    <w:qFormat/>
    <w:uiPriority w:val="0"/>
    <w:pPr>
      <w:adjustRightInd w:val="0"/>
      <w:spacing w:line="432" w:lineRule="auto"/>
      <w:ind w:firstLine="480"/>
      <w:textAlignment w:val="baseline"/>
    </w:pPr>
    <w:rPr>
      <w:sz w:val="24"/>
      <w:szCs w:val="20"/>
    </w:rPr>
  </w:style>
  <w:style w:type="paragraph" w:customStyle="1" w:styleId="46">
    <w:name w:val="...正文"/>
    <w:qFormat/>
    <w:uiPriority w:val="0"/>
    <w:pPr>
      <w:spacing w:before="60" w:line="360" w:lineRule="auto"/>
      <w:ind w:firstLine="200" w:firstLineChars="200"/>
      <w:jc w:val="both"/>
    </w:pPr>
    <w:rPr>
      <w:rFonts w:ascii="Times New Roman" w:hAnsi="Times New Roman" w:eastAsia="宋体" w:cs="Times New Roman"/>
      <w:color w:val="000000"/>
      <w:spacing w:val="4"/>
      <w:sz w:val="24"/>
      <w:szCs w:val="24"/>
      <w:lang w:val="en-US" w:eastAsia="zh-CN" w:bidi="ar-SA"/>
    </w:rPr>
  </w:style>
  <w:style w:type="paragraph" w:customStyle="1" w:styleId="47">
    <w:name w:val="(.a表格内容"/>
    <w:basedOn w:val="48"/>
    <w:qFormat/>
    <w:uiPriority w:val="0"/>
    <w:pPr>
      <w:spacing w:line="0" w:lineRule="atLeast"/>
      <w:jc w:val="center"/>
    </w:pPr>
    <w:rPr>
      <w:rFonts w:cs="Times New Roman"/>
      <w:sz w:val="21"/>
    </w:rPr>
  </w:style>
  <w:style w:type="paragraph" w:customStyle="1" w:styleId="48">
    <w:name w:val="（.a正文"/>
    <w:qFormat/>
    <w:uiPriority w:val="0"/>
    <w:pPr>
      <w:adjustRightInd w:val="0"/>
      <w:spacing w:line="480" w:lineRule="exact"/>
      <w:ind w:firstLine="200" w:firstLineChars="200"/>
      <w:jc w:val="both"/>
    </w:pPr>
    <w:rPr>
      <w:rFonts w:ascii="Times New Roman" w:hAnsi="Times New Roman" w:eastAsia="宋体" w:cs="Arial"/>
      <w:bCs/>
      <w:kern w:val="2"/>
      <w:sz w:val="24"/>
      <w:szCs w:val="24"/>
      <w:lang w:val="en-US" w:eastAsia="zh-CN" w:bidi="ar-SA"/>
    </w:rPr>
  </w:style>
  <w:style w:type="paragraph" w:customStyle="1" w:styleId="49">
    <w:name w:val="1.1.1"/>
    <w:basedOn w:val="1"/>
    <w:qFormat/>
    <w:uiPriority w:val="0"/>
    <w:rPr>
      <w:rFonts w:ascii="黑体"/>
      <w:sz w:val="24"/>
    </w:rPr>
  </w:style>
  <w:style w:type="paragraph" w:customStyle="1" w:styleId="50">
    <w:name w:val="表格文字"/>
    <w:basedOn w:val="7"/>
    <w:qFormat/>
    <w:uiPriority w:val="0"/>
    <w:pPr>
      <w:snapToGrid w:val="0"/>
      <w:spacing w:beforeLines="10" w:line="240" w:lineRule="atLeast"/>
      <w:ind w:firstLine="0"/>
      <w:jc w:val="center"/>
    </w:pPr>
    <w:rPr>
      <w:snapToGrid w:val="0"/>
      <w:sz w:val="21"/>
      <w:szCs w:val="28"/>
    </w:rPr>
  </w:style>
  <w:style w:type="paragraph" w:customStyle="1" w:styleId="51">
    <w:name w:val="表格内容居中"/>
    <w:qFormat/>
    <w:uiPriority w:val="0"/>
    <w:pPr>
      <w:adjustRightInd w:val="0"/>
      <w:snapToGrid w:val="0"/>
      <w:jc w:val="center"/>
    </w:pPr>
    <w:rPr>
      <w:rFonts w:ascii="Times New Roman" w:hAnsi="Times New Roman" w:eastAsia="宋体" w:cs="Times New Roman"/>
      <w:snapToGrid w:val="0"/>
      <w:sz w:val="21"/>
      <w:lang w:val="en-US" w:eastAsia="zh-CN" w:bidi="ar-SA"/>
    </w:rPr>
  </w:style>
  <w:style w:type="paragraph" w:customStyle="1" w:styleId="52">
    <w:name w:val="样式 正文文字 + 首行缩进:  2 字符 行距: 最小值 24 磅"/>
    <w:basedOn w:val="1"/>
    <w:qFormat/>
    <w:uiPriority w:val="0"/>
    <w:pPr>
      <w:adjustRightInd w:val="0"/>
      <w:snapToGrid w:val="0"/>
      <w:spacing w:line="480" w:lineRule="atLeast"/>
      <w:ind w:firstLine="480" w:firstLineChars="200"/>
    </w:pPr>
    <w:rPr>
      <w:sz w:val="24"/>
      <w:szCs w:val="20"/>
    </w:rPr>
  </w:style>
  <w:style w:type="paragraph" w:customStyle="1" w:styleId="53">
    <w:name w:val="三级标题"/>
    <w:basedOn w:val="1"/>
    <w:qFormat/>
    <w:uiPriority w:val="0"/>
    <w:pPr>
      <w:spacing w:line="360" w:lineRule="auto"/>
    </w:pPr>
    <w:rPr>
      <w:rFonts w:ascii="宋体" w:hAnsi="宋体"/>
      <w:bCs/>
      <w:sz w:val="24"/>
    </w:rPr>
  </w:style>
  <w:style w:type="character" w:customStyle="1" w:styleId="54">
    <w:name w:val="文档结构图 Char"/>
    <w:basedOn w:val="33"/>
    <w:link w:val="9"/>
    <w:qFormat/>
    <w:uiPriority w:val="0"/>
    <w:rPr>
      <w:rFonts w:ascii="宋体"/>
      <w:kern w:val="2"/>
      <w:sz w:val="18"/>
      <w:szCs w:val="18"/>
    </w:rPr>
  </w:style>
  <w:style w:type="character" w:customStyle="1" w:styleId="55">
    <w:name w:val="批注框文本 Char"/>
    <w:basedOn w:val="33"/>
    <w:link w:val="24"/>
    <w:qFormat/>
    <w:uiPriority w:val="0"/>
    <w:rPr>
      <w:kern w:val="2"/>
      <w:sz w:val="18"/>
      <w:szCs w:val="18"/>
    </w:rPr>
  </w:style>
  <w:style w:type="character" w:customStyle="1" w:styleId="56">
    <w:name w:val="批注文字 Char"/>
    <w:basedOn w:val="33"/>
    <w:link w:val="10"/>
    <w:qFormat/>
    <w:uiPriority w:val="0"/>
    <w:rPr>
      <w:kern w:val="2"/>
      <w:sz w:val="21"/>
      <w:szCs w:val="24"/>
    </w:rPr>
  </w:style>
  <w:style w:type="character" w:customStyle="1" w:styleId="57">
    <w:name w:val="批注主题 Char"/>
    <w:basedOn w:val="56"/>
    <w:link w:val="28"/>
    <w:qFormat/>
    <w:uiPriority w:val="0"/>
  </w:style>
  <w:style w:type="paragraph" w:customStyle="1" w:styleId="58">
    <w:name w:val="默认段落字体 Para Char Char Char Char Char Char Char Char Char Char"/>
    <w:basedOn w:val="6"/>
    <w:qFormat/>
    <w:uiPriority w:val="0"/>
    <w:pPr>
      <w:tabs>
        <w:tab w:val="left" w:pos="360"/>
        <w:tab w:val="left" w:pos="900"/>
      </w:tabs>
      <w:snapToGrid w:val="0"/>
      <w:spacing w:before="120" w:after="120" w:line="360" w:lineRule="auto"/>
      <w:ind w:left="542" w:leftChars="-12" w:firstLine="200" w:firstLineChars="200"/>
      <w:jc w:val="left"/>
    </w:pPr>
    <w:rPr>
      <w:rFonts w:eastAsia="黑体"/>
      <w:snapToGrid w:val="0"/>
      <w:sz w:val="24"/>
      <w:szCs w:val="24"/>
    </w:rPr>
  </w:style>
  <w:style w:type="paragraph" w:styleId="59">
    <w:name w:val="List Paragraph"/>
    <w:basedOn w:val="1"/>
    <w:unhideWhenUsed/>
    <w:qFormat/>
    <w:uiPriority w:val="99"/>
    <w:pPr>
      <w:ind w:firstLine="420" w:firstLineChars="200"/>
    </w:pPr>
  </w:style>
  <w:style w:type="character" w:customStyle="1" w:styleId="60">
    <w:name w:val="纯文本 Char"/>
    <w:link w:val="15"/>
    <w:qFormat/>
    <w:uiPriority w:val="0"/>
    <w:rPr>
      <w:rFonts w:ascii="宋体" w:hAnsi="Courier New" w:cs="Courier New"/>
      <w:kern w:val="2"/>
      <w:sz w:val="21"/>
      <w:szCs w:val="21"/>
    </w:rPr>
  </w:style>
  <w:style w:type="character" w:customStyle="1" w:styleId="61">
    <w:name w:val="正文1 Char"/>
    <w:link w:val="20"/>
    <w:qFormat/>
    <w:uiPriority w:val="0"/>
    <w:rPr>
      <w:kern w:val="2"/>
      <w:sz w:val="28"/>
      <w:szCs w:val="24"/>
    </w:rPr>
  </w:style>
  <w:style w:type="paragraph" w:customStyle="1" w:styleId="62">
    <w:name w:val="列出段落1"/>
    <w:basedOn w:val="1"/>
    <w:qFormat/>
    <w:uiPriority w:val="0"/>
    <w:pPr>
      <w:ind w:firstLine="420" w:firstLineChars="200"/>
    </w:pPr>
    <w:rPr>
      <w:rFonts w:ascii="Calibri" w:hAnsi="Calibri"/>
      <w:szCs w:val="21"/>
    </w:rPr>
  </w:style>
  <w:style w:type="character" w:customStyle="1" w:styleId="63">
    <w:name w:val="fontstyle01"/>
    <w:qFormat/>
    <w:uiPriority w:val="0"/>
    <w:rPr>
      <w:rFonts w:hint="eastAsia" w:ascii="宋体" w:hAnsi="宋体" w:eastAsia="宋体"/>
      <w:color w:val="000000"/>
      <w:sz w:val="24"/>
      <w:szCs w:val="24"/>
    </w:rPr>
  </w:style>
  <w:style w:type="character" w:customStyle="1" w:styleId="64">
    <w:name w:val="cur"/>
    <w:basedOn w:val="33"/>
    <w:qFormat/>
    <w:uiPriority w:val="0"/>
    <w:rPr>
      <w:color w:val="FFFFFF"/>
      <w:shd w:val="clear" w:fill="2F6B98"/>
    </w:rPr>
  </w:style>
  <w:style w:type="character" w:customStyle="1" w:styleId="65">
    <w:name w:val="radio-btn"/>
    <w:basedOn w:val="33"/>
    <w:qFormat/>
    <w:uiPriority w:val="0"/>
    <w:rPr>
      <w:sz w:val="21"/>
      <w:szCs w:val="21"/>
    </w:rPr>
  </w:style>
  <w:style w:type="character" w:customStyle="1" w:styleId="66">
    <w:name w:val="radio-btn1"/>
    <w:basedOn w:val="33"/>
    <w:qFormat/>
    <w:uiPriority w:val="0"/>
    <w:rPr>
      <w:sz w:val="24"/>
      <w:szCs w:val="24"/>
    </w:rPr>
  </w:style>
  <w:style w:type="character" w:customStyle="1" w:styleId="67">
    <w:name w:val="radio-btn2"/>
    <w:basedOn w:val="33"/>
    <w:qFormat/>
    <w:uiPriority w:val="0"/>
    <w:rPr>
      <w:sz w:val="24"/>
      <w:szCs w:val="24"/>
    </w:rPr>
  </w:style>
  <w:style w:type="character" w:customStyle="1" w:styleId="68">
    <w:name w:val="lishishuju"/>
    <w:basedOn w:val="33"/>
    <w:qFormat/>
    <w:uiPriority w:val="0"/>
    <w:rPr>
      <w:b/>
      <w:color w:val="000052"/>
      <w:sz w:val="24"/>
      <w:szCs w:val="24"/>
      <w:bdr w:val="single" w:color="E3E3E3" w:sz="6" w:space="0"/>
    </w:rPr>
  </w:style>
  <w:style w:type="character" w:customStyle="1" w:styleId="69">
    <w:name w:val="lable"/>
    <w:basedOn w:val="33"/>
    <w:qFormat/>
    <w:uiPriority w:val="0"/>
    <w:rPr>
      <w:sz w:val="24"/>
      <w:szCs w:val="24"/>
    </w:rPr>
  </w:style>
  <w:style w:type="character" w:customStyle="1" w:styleId="70">
    <w:name w:val="znspantitle"/>
    <w:basedOn w:val="33"/>
    <w:qFormat/>
    <w:uiPriority w:val="0"/>
    <w:rPr>
      <w:b/>
      <w:color w:val="333333"/>
    </w:rPr>
  </w:style>
  <w:style w:type="character" w:customStyle="1" w:styleId="71">
    <w:name w:val="cur1"/>
    <w:basedOn w:val="33"/>
    <w:qFormat/>
    <w:uiPriority w:val="0"/>
    <w:rPr>
      <w:color w:val="FFFFFF"/>
      <w:shd w:val="clear" w:fill="2F6B98"/>
    </w:rPr>
  </w:style>
  <w:style w:type="character" w:customStyle="1" w:styleId="72">
    <w:name w:val="font01"/>
    <w:basedOn w:val="33"/>
    <w:qFormat/>
    <w:uiPriority w:val="0"/>
    <w:rPr>
      <w:rFonts w:hint="default" w:ascii="Times New Roman" w:hAnsi="Times New Roman" w:cs="Times New Roman"/>
      <w:color w:val="000000"/>
      <w:sz w:val="21"/>
      <w:szCs w:val="21"/>
      <w:u w:val="none"/>
    </w:rPr>
  </w:style>
  <w:style w:type="paragraph" w:customStyle="1" w:styleId="73">
    <w:name w:val="Normal_27"/>
    <w:qFormat/>
    <w:uiPriority w:val="0"/>
    <w:pPr>
      <w:spacing w:before="120" w:after="240"/>
      <w:jc w:val="both"/>
    </w:pPr>
    <w:rPr>
      <w:rFonts w:ascii="Calibri" w:hAnsi="Calibri" w:eastAsia="Calibri" w:cs="Times New Roman"/>
      <w:sz w:val="22"/>
      <w:szCs w:val="22"/>
      <w:lang w:val="ru-RU" w:eastAsia="en-US" w:bidi="ar-SA"/>
    </w:rPr>
  </w:style>
  <w:style w:type="paragraph" w:customStyle="1" w:styleId="74">
    <w:name w:val="Normal_28"/>
    <w:qFormat/>
    <w:uiPriority w:val="0"/>
    <w:pPr>
      <w:spacing w:before="120" w:after="240"/>
      <w:jc w:val="both"/>
    </w:pPr>
    <w:rPr>
      <w:rFonts w:ascii="Calibri" w:hAnsi="Calibri" w:eastAsia="Calibri" w:cs="Times New Roman"/>
      <w:sz w:val="22"/>
      <w:szCs w:val="22"/>
      <w:lang w:val="ru-RU" w:eastAsia="en-US" w:bidi="ar-SA"/>
    </w:rPr>
  </w:style>
  <w:style w:type="paragraph" w:customStyle="1" w:styleId="75">
    <w:name w:val="样式 首行缩进:  2 字符1"/>
    <w:basedOn w:val="1"/>
    <w:qFormat/>
    <w:uiPriority w:val="0"/>
    <w:pPr>
      <w:ind w:firstLine="624"/>
    </w:pPr>
    <w:rPr>
      <w:rFonts w:cs="宋体"/>
      <w:szCs w:val="20"/>
    </w:rPr>
  </w:style>
  <w:style w:type="paragraph" w:customStyle="1" w:styleId="76">
    <w:name w:val="段落"/>
    <w:basedOn w:val="1"/>
    <w:qFormat/>
    <w:uiPriority w:val="0"/>
    <w:pPr>
      <w:widowControl w:val="0"/>
      <w:tabs>
        <w:tab w:val="left" w:pos="1021"/>
      </w:tabs>
      <w:adjustRightInd w:val="0"/>
      <w:spacing w:line="360" w:lineRule="auto"/>
      <w:ind w:firstLine="480" w:firstLineChars="200"/>
      <w:jc w:val="both"/>
    </w:pPr>
    <w:rPr>
      <w:rFonts w:ascii="Times New Roman" w:cs="Times New Roman"/>
      <w:kern w:val="24"/>
    </w:rPr>
  </w:style>
  <w:style w:type="paragraph" w:customStyle="1" w:styleId="77">
    <w:name w:val="Normal_231"/>
    <w:qFormat/>
    <w:uiPriority w:val="0"/>
    <w:pPr>
      <w:spacing w:before="120" w:after="240"/>
      <w:jc w:val="both"/>
    </w:pPr>
    <w:rPr>
      <w:rFonts w:ascii="Calibri" w:hAnsi="Calibri" w:eastAsia="Calibri" w:cs="Times New Roman"/>
      <w:sz w:val="22"/>
      <w:szCs w:val="22"/>
      <w:lang w:val="ru-RU" w:eastAsia="en-US" w:bidi="ar-SA"/>
    </w:rPr>
  </w:style>
  <w:style w:type="paragraph" w:customStyle="1" w:styleId="78">
    <w:name w:val="样式 正文文本正文文字body textbt + 首行缩进:  2 字符1"/>
    <w:basedOn w:val="1"/>
    <w:qFormat/>
    <w:uiPriority w:val="0"/>
    <w:pPr>
      <w:widowControl w:val="0"/>
      <w:ind w:firstLine="482" w:firstLineChars="200"/>
      <w:jc w:val="both"/>
    </w:pPr>
    <w:rPr>
      <w:color w:val="FF0000"/>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6.png" Type="http://schemas.openxmlformats.org/officeDocument/2006/relationships/image"/><Relationship Id="rId11" Target="media/image7.png" Type="http://schemas.openxmlformats.org/officeDocument/2006/relationships/image"/><Relationship Id="rId12" Target="media/image8.png" Type="http://schemas.openxmlformats.org/officeDocument/2006/relationships/image"/><Relationship Id="rId13" Target="media/image9.wmf" Type="http://schemas.openxmlformats.org/officeDocument/2006/relationships/image"/><Relationship Id="rId14" Target="media/image10.wmf" Type="http://schemas.openxmlformats.org/officeDocument/2006/relationships/image"/><Relationship Id="rId15" Target="../customXml/item1.xml" Type="http://schemas.openxmlformats.org/officeDocument/2006/relationships/customXml"/><Relationship Id="rId16" Target="numbering.xml" Type="http://schemas.openxmlformats.org/officeDocument/2006/relationships/numbering"/><Relationship Id="rId17" Target="../customXml/item2.xml" Type="http://schemas.openxmlformats.org/officeDocument/2006/relationships/customXml"/><Relationship Id="rId18" Target="fontTable.xml" Type="http://schemas.openxmlformats.org/officeDocument/2006/relationships/fontTable"/><Relationship Id="rId2" Target="settings.xml" Type="http://schemas.openxmlformats.org/officeDocument/2006/relationships/settings"/><Relationship Id="rId3" Target="footer1.xml" Type="http://schemas.openxmlformats.org/officeDocument/2006/relationships/footer"/><Relationship Id="rId4" Target="theme/theme1.xml" Type="http://schemas.openxmlformats.org/officeDocument/2006/relationships/theme"/><Relationship Id="rId5" Target="media/image1.png" Type="http://schemas.openxmlformats.org/officeDocument/2006/relationships/image"/><Relationship Id="rId6" Target="media/image2.png" Type="http://schemas.openxmlformats.org/officeDocument/2006/relationships/image"/><Relationship Id="rId7" Target="media/image3.png" Type="http://schemas.openxmlformats.org/officeDocument/2006/relationships/image"/><Relationship Id="rId8" Target="media/image4.png" Type="http://schemas.openxmlformats.org/officeDocument/2006/relationships/image"/><Relationship Id="rId9" Target="media/image5.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3"/>
    <customShpInfo spid="_x0000_s2054"/>
    <customShpInfo spid="_x0000_s2055"/>
    <customShpInfo spid="_x0000_s2053"/>
    <customShpInfo spid="_x0000_s2063"/>
    <customShpInfo spid="_x0000_s2061"/>
    <customShpInfo spid="_x0000_s2062"/>
    <customShpInfo spid="_x0000_s2056"/>
    <customShpInfo spid="_x0000_s2059"/>
    <customShpInfo spid="_x0000_s2060"/>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89C8B9-19F9-4E01-99C3-1AB5703937E7}">
  <ds:schemaRefs/>
</ds:datastoreItem>
</file>

<file path=docProps/app.xml><?xml version="1.0" encoding="utf-8"?>
<Properties xmlns="http://schemas.openxmlformats.org/officeDocument/2006/extended-properties" xmlns:vt="http://schemas.openxmlformats.org/officeDocument/2006/docPropsVTypes">
  <Template>Normal.dotm</Template>
  <Pages>1</Pages>
  <Words>6656</Words>
  <Characters>37940</Characters>
  <Lines>316</Lines>
  <Paragraphs>89</Paragraphs>
  <TotalTime>33</TotalTime>
  <ScaleCrop>false</ScaleCrop>
  <LinksUpToDate>false</LinksUpToDate>
  <CharactersWithSpaces>44507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2019-10-17T09:12:00Z</dcterms:created>
  <dc:creator>野酒与后摇</dc:creator>
  <cp:lastModifiedBy>欢欢</cp:lastModifiedBy>
  <cp:lastPrinted>2021-01-20T01:52:00Z</cp:lastPrinted>
  <dcterms:modified xsi:type="dcterms:W3CDTF">2021-01-27T01:53:05Z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