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both"/>
        <w:rPr>
          <w:rFonts w:hint="eastAsia" w:ascii="楷体" w:hAnsi="楷体" w:eastAsia="楷体" w:cs="楷体"/>
          <w:color w:val="auto"/>
          <w:sz w:val="32"/>
          <w:szCs w:val="32"/>
        </w:rPr>
      </w:pPr>
      <w:r>
        <w:rPr>
          <w:rFonts w:hint="eastAsia" w:ascii="楷体" w:hAnsi="楷体" w:eastAsia="楷体" w:cs="楷体"/>
          <w:color w:val="auto"/>
          <w:sz w:val="32"/>
          <w:szCs w:val="32"/>
          <w:shd w:val="clear" w:fill="FFFFFF"/>
        </w:rPr>
        <w:t>国家税务总局公告2019年第2号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60" w:leftChars="0" w:right="0" w:right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bdr w:val="none" w:color="auto" w:sz="0" w:space="0"/>
          <w:shd w:val="clear" w:fill="FFFFFF"/>
        </w:rPr>
        <w:t>国家税务总局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20" w:right="0" w:hanging="36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bdr w:val="none" w:color="auto" w:sz="0" w:space="0"/>
          <w:shd w:val="clear" w:fill="FFFFFF"/>
        </w:rPr>
        <w:t>关于实施小型微利企业普惠性所得税减免政策有关问题的公告</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20" w:right="0" w:hanging="360"/>
        <w:jc w:val="center"/>
        <w:textAlignment w:val="auto"/>
        <w:rPr>
          <w:rFonts w:hint="eastAsia" w:ascii="方正小标宋简体" w:hAnsi="方正小标宋简体" w:eastAsia="方正小标宋简体" w:cs="方正小标宋简体"/>
          <w:color w:val="auto"/>
          <w:sz w:val="44"/>
          <w:szCs w:val="44"/>
        </w:rPr>
      </w:pPr>
    </w:p>
    <w:p>
      <w:pPr>
        <w:pStyle w:val="2"/>
        <w:keepNext w:val="0"/>
        <w:keepLines w:val="0"/>
        <w:widowControl/>
        <w:suppressLineNumbers w:val="0"/>
        <w:spacing w:before="0" w:beforeAutospacing="0" w:after="0" w:afterAutospacing="0" w:line="432" w:lineRule="atLeast"/>
        <w:ind w:righ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根据《中华人民共和国企业所得税法》及其实施条例、《财政部 税务总局关于实施小微企业普惠性税收减免政策的通知》（财税〔2019〕13号，以下简称《通知》）等规定，现就小型微利企业普惠性所得税减免政策有关问题公告如下：</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一、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小型微利企业无论按查账征收方式或核定征收方式缴纳企业所得税，均可享受上述优惠政策。</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二、本公告所称小型微利企业是指从事国家非限制和禁止行业，且同时符合年度应纳税所得额不超过300万元、从业人数不超过300人、资产总额不超过5000万元等三个条件的企业。</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w:t>
      </w:r>
      <w:r>
        <w:rPr>
          <w:rFonts w:hint="eastAsia" w:ascii="仿宋" w:hAnsi="仿宋" w:eastAsia="仿宋" w:cs="仿宋"/>
          <w:color w:val="auto"/>
          <w:sz w:val="32"/>
          <w:szCs w:val="32"/>
          <w:shd w:val="clear" w:fill="FFFFFF"/>
        </w:rPr>
        <w:t>　三、小型微利企业所得税统一实行按季度预缴。</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预缴企业所得税时，小型微利企业的资产总额、从业人数、年度应纳税所得额指标，</w:t>
      </w:r>
      <w:r>
        <w:rPr>
          <w:rFonts w:hint="eastAsia" w:ascii="仿宋" w:hAnsi="仿宋" w:eastAsia="仿宋" w:cs="仿宋"/>
          <w:color w:val="auto"/>
          <w:sz w:val="32"/>
          <w:szCs w:val="32"/>
          <w:shd w:val="clear" w:fill="FFFFFF"/>
        </w:rPr>
        <w:t>暂按当年度截至本期申报所属期末的情况进行判断。</w:t>
      </w:r>
      <w:r>
        <w:rPr>
          <w:rFonts w:hint="eastAsia" w:ascii="仿宋" w:hAnsi="仿宋" w:eastAsia="仿宋" w:cs="仿宋"/>
          <w:color w:val="auto"/>
          <w:sz w:val="32"/>
          <w:szCs w:val="32"/>
          <w:shd w:val="clear" w:fill="FFFFFF"/>
        </w:rPr>
        <w:t>其中，资产总额、从业人数指标比照《通知》第二条中“全年季度平均值”的计算公式，计算截至本期申报所属期末的季度平均值；年度应纳税所得额指标暂按截至本期申报所属期末不超过300万元的标准判断。</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w:t>
      </w:r>
      <w:r>
        <w:rPr>
          <w:rFonts w:hint="eastAsia" w:ascii="仿宋" w:hAnsi="仿宋" w:eastAsia="仿宋" w:cs="仿宋"/>
          <w:color w:val="auto"/>
          <w:sz w:val="32"/>
          <w:szCs w:val="32"/>
          <w:shd w:val="clear" w:fill="FFFFFF"/>
        </w:rPr>
        <w:t>四、原不符合小型微利企业条件的企业，在年度中间预缴企业所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按月度预缴企业所得税的企业，在当年度4月、7月、10月预缴申报时，如果按照本公告第三条规定判断符合小型微利企业条件的，下一个预缴申报期起调整为按季度预缴申报，一经调整，当年度内不再变更。</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五、小型微利企业在预缴和汇算清缴企业所得税时，通过填写纳税申报表相关内容，即可享受小型微利企业所得税减免政策。</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六、实行核定应纳所</w:t>
      </w:r>
      <w:bookmarkStart w:id="0" w:name="_GoBack"/>
      <w:bookmarkEnd w:id="0"/>
      <w:r>
        <w:rPr>
          <w:rFonts w:hint="eastAsia" w:ascii="仿宋" w:hAnsi="仿宋" w:eastAsia="仿宋" w:cs="仿宋"/>
          <w:color w:val="auto"/>
          <w:sz w:val="32"/>
          <w:szCs w:val="32"/>
          <w:shd w:val="clear" w:fill="FFFFFF"/>
        </w:rPr>
        <w:t>得税额征收的企业，根据小型微利企业所得税减免政策规定需要调减定额的，由主管税务机关按照程序调整，并及时将调整情况告知企业。</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七、企业预缴企业所得税时已享受小型微利企业所得税减免政策，汇算清缴企业所得税时不符合《通知》第二条规定的，应当按照规定补缴企业所得税税款。</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八、《国家税务总局关于贯彻落实进一步扩大小型微利企业所得税优惠政策范围有关征管问题的公告》（国家税务总局公告2018年第40号）在2018年度企业所得税汇算清缴结束后废止。</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　　特此公告。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2882" w:right="0" w:hanging="360"/>
        <w:rPr>
          <w:rFonts w:hint="eastAsia" w:ascii="仿宋" w:hAnsi="仿宋" w:eastAsia="仿宋" w:cs="仿宋"/>
          <w:color w:val="auto"/>
          <w:sz w:val="32"/>
          <w:szCs w:val="32"/>
        </w:rPr>
      </w:pPr>
    </w:p>
    <w:p>
      <w:pPr>
        <w:pStyle w:val="2"/>
        <w:keepNext w:val="0"/>
        <w:keepLines w:val="0"/>
        <w:widowControl/>
        <w:suppressLineNumbers w:val="0"/>
        <w:spacing w:before="0" w:beforeAutospacing="0" w:after="0" w:afterAutospacing="0" w:line="432" w:lineRule="atLeast"/>
        <w:ind w:left="720" w:right="0"/>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2882" w:right="0" w:hanging="360"/>
        <w:rPr>
          <w:rFonts w:hint="eastAsia" w:ascii="仿宋" w:hAnsi="仿宋" w:eastAsia="仿宋" w:cs="仿宋"/>
          <w:color w:val="auto"/>
          <w:sz w:val="32"/>
          <w:szCs w:val="32"/>
        </w:rPr>
      </w:pPr>
    </w:p>
    <w:p>
      <w:pPr>
        <w:pStyle w:val="2"/>
        <w:keepNext w:val="0"/>
        <w:keepLines w:val="0"/>
        <w:widowControl/>
        <w:suppressLineNumbers w:val="0"/>
        <w:spacing w:before="0" w:beforeAutospacing="0" w:after="0" w:afterAutospacing="0" w:line="432" w:lineRule="atLeast"/>
        <w:ind w:left="720" w:right="0"/>
        <w:jc w:val="center"/>
        <w:rPr>
          <w:rFonts w:hint="eastAsia" w:ascii="仿宋" w:hAnsi="仿宋" w:eastAsia="仿宋" w:cs="仿宋"/>
          <w:color w:val="auto"/>
          <w:sz w:val="32"/>
          <w:szCs w:val="32"/>
          <w:shd w:val="clear" w:fill="FFFFFF"/>
        </w:rPr>
      </w:pPr>
    </w:p>
    <w:p>
      <w:pPr>
        <w:pStyle w:val="2"/>
        <w:keepNext w:val="0"/>
        <w:keepLines w:val="0"/>
        <w:widowControl/>
        <w:suppressLineNumbers w:val="0"/>
        <w:spacing w:before="0" w:beforeAutospacing="0" w:after="0" w:afterAutospacing="0" w:line="432" w:lineRule="atLeast"/>
        <w:ind w:left="720" w:right="0"/>
        <w:jc w:val="center"/>
        <w:rPr>
          <w:rFonts w:hint="eastAsia" w:ascii="仿宋" w:hAnsi="仿宋" w:eastAsia="仿宋" w:cs="仿宋"/>
          <w:color w:val="auto"/>
          <w:sz w:val="32"/>
          <w:szCs w:val="32"/>
          <w:shd w:val="clear" w:fill="FFFFFF"/>
        </w:rPr>
      </w:pPr>
    </w:p>
    <w:p>
      <w:pPr>
        <w:pStyle w:val="2"/>
        <w:keepNext w:val="0"/>
        <w:keepLines w:val="0"/>
        <w:widowControl/>
        <w:suppressLineNumbers w:val="0"/>
        <w:spacing w:before="0" w:beforeAutospacing="0" w:after="0" w:afterAutospacing="0" w:line="432" w:lineRule="atLeast"/>
        <w:ind w:left="720" w:right="0"/>
        <w:jc w:val="center"/>
        <w:rPr>
          <w:rFonts w:hint="eastAsia" w:ascii="仿宋" w:hAnsi="仿宋" w:eastAsia="仿宋" w:cs="仿宋"/>
          <w:color w:val="auto"/>
          <w:sz w:val="32"/>
          <w:szCs w:val="32"/>
          <w:shd w:val="clear" w:fill="FFFFFF"/>
        </w:rPr>
      </w:pPr>
    </w:p>
    <w:p>
      <w:pPr>
        <w:pStyle w:val="2"/>
        <w:keepNext w:val="0"/>
        <w:keepLines w:val="0"/>
        <w:widowControl/>
        <w:suppressLineNumbers w:val="0"/>
        <w:spacing w:before="0" w:beforeAutospacing="0" w:after="0" w:afterAutospacing="0" w:line="432" w:lineRule="atLeast"/>
        <w:ind w:left="720" w:right="0"/>
        <w:jc w:val="center"/>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国家税务总局</w:t>
      </w:r>
      <w:r>
        <w:rPr>
          <w:rFonts w:hint="eastAsia" w:ascii="仿宋" w:hAnsi="仿宋" w:eastAsia="仿宋" w:cs="仿宋"/>
          <w:color w:val="auto"/>
          <w:sz w:val="32"/>
          <w:szCs w:val="32"/>
          <w:shd w:val="clear" w:fill="FFFFFF"/>
        </w:rPr>
        <w:br w:type="textWrapping"/>
      </w:r>
      <w:r>
        <w:rPr>
          <w:rFonts w:hint="eastAsia" w:ascii="仿宋" w:hAnsi="仿宋" w:eastAsia="仿宋" w:cs="仿宋"/>
          <w:color w:val="auto"/>
          <w:sz w:val="32"/>
          <w:szCs w:val="32"/>
          <w:shd w:val="clear" w:fill="FFFFFF"/>
        </w:rPr>
        <w:t>2019年1月18日</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2882" w:right="0" w:hanging="360"/>
        <w:rPr>
          <w:rFonts w:hint="eastAsia" w:ascii="仿宋" w:hAnsi="仿宋" w:eastAsia="仿宋" w:cs="仿宋"/>
          <w:color w:val="auto"/>
          <w:sz w:val="32"/>
          <w:szCs w:val="3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20" w:right="0" w:hanging="360"/>
        <w:jc w:val="center"/>
        <w:rPr>
          <w:rFonts w:hint="eastAsia" w:ascii="仿宋" w:hAnsi="仿宋" w:eastAsia="仿宋" w:cs="仿宋"/>
          <w:color w:val="auto"/>
          <w:sz w:val="32"/>
          <w:szCs w:val="32"/>
        </w:rPr>
      </w:pPr>
    </w:p>
    <w:p>
      <w:pPr>
        <w:rPr>
          <w:rFonts w:hint="eastAsia" w:ascii="仿宋" w:hAnsi="仿宋" w:eastAsia="仿宋" w:cs="仿宋"/>
          <w:color w:val="auto"/>
          <w:sz w:val="32"/>
          <w:szCs w:val="32"/>
        </w:rPr>
      </w:pP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0B913"/>
    <w:multiLevelType w:val="multilevel"/>
    <w:tmpl w:val="9E20B91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C4266C5"/>
    <w:multiLevelType w:val="multilevel"/>
    <w:tmpl w:val="1C4266C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52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sz w:val="14"/>
      <w:szCs w:val="14"/>
      <w:u w:val="none"/>
      <w:bdr w:val="none" w:color="auto" w:sz="0" w:space="0"/>
    </w:rPr>
  </w:style>
  <w:style w:type="character" w:styleId="5">
    <w:name w:val="Hyperlink"/>
    <w:basedOn w:val="3"/>
    <w:uiPriority w:val="0"/>
    <w:rPr>
      <w:color w:val="333333"/>
      <w:sz w:val="14"/>
      <w:szCs w:val="14"/>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shenhang</dc:creator>
  <cp:lastModifiedBy>shenhang</cp:lastModifiedBy>
  <dcterms:modified xsi:type="dcterms:W3CDTF">2019-01-30T15:07:05Z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